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adjustRightInd w:val="0"/>
        <w:ind w:right="600"/>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本谈判文件经采购人审核确认，同意发布。</w:t>
      </w:r>
    </w:p>
    <w:p>
      <w:pPr>
        <w:widowControl/>
        <w:spacing w:before="75" w:after="75"/>
        <w:jc w:val="center"/>
        <w:rPr>
          <w:rFonts w:ascii="宋体" w:hAnsi="宋体" w:eastAsia="宋体" w:cs="宋体"/>
          <w:b/>
          <w:color w:val="auto"/>
          <w:highlight w:val="none"/>
        </w:rPr>
      </w:pPr>
      <w:r>
        <w:rPr>
          <w:rFonts w:hint="eastAsia" w:ascii="宋体" w:hAnsi="宋体" w:eastAsia="宋体" w:cs="宋体"/>
          <w:b/>
          <w:color w:val="auto"/>
          <w:highlight w:val="none"/>
        </w:rPr>
        <w:t xml:space="preserve">                                </w:t>
      </w: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color w:val="auto"/>
          <w:highlight w:val="none"/>
        </w:rPr>
        <w:t xml:space="preserve">                                 </w:t>
      </w:r>
      <w:r>
        <w:rPr>
          <w:rFonts w:hint="eastAsia" w:ascii="宋体" w:hAnsi="宋体" w:eastAsia="宋体" w:cs="宋体"/>
          <w:b/>
          <w:bCs/>
          <w:color w:val="auto"/>
          <w:sz w:val="28"/>
          <w:szCs w:val="28"/>
          <w:highlight w:val="none"/>
        </w:rPr>
        <w:t>采购人盖章：</w:t>
      </w: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pStyle w:val="12"/>
        <w:ind w:left="0" w:leftChars="0"/>
        <w:rPr>
          <w:rFonts w:ascii="宋体" w:eastAsia="宋体" w:cs="宋体"/>
          <w:color w:val="auto"/>
          <w:sz w:val="24"/>
          <w:szCs w:val="24"/>
          <w:highlight w:val="none"/>
        </w:rPr>
      </w:pPr>
    </w:p>
    <w:p>
      <w:pPr>
        <w:widowControl/>
        <w:spacing w:before="75" w:after="75"/>
        <w:jc w:val="center"/>
        <w:rPr>
          <w:rFonts w:ascii="宋体" w:hAnsi="宋体" w:eastAsia="宋体" w:cs="宋体"/>
          <w:color w:val="auto"/>
          <w:kern w:val="0"/>
          <w:sz w:val="24"/>
          <w:szCs w:val="24"/>
          <w:highlight w:val="none"/>
        </w:rPr>
      </w:pP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72"/>
          <w:szCs w:val="72"/>
          <w:highlight w:val="none"/>
        </w:rPr>
        <w:t xml:space="preserve"> 竞争性谈判文件</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pStyle w:val="2"/>
        <w:rPr>
          <w:color w:val="auto"/>
          <w:highlight w:val="none"/>
        </w:rPr>
      </w:pP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before="75" w:after="7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before="75" w:after="75" w:line="480" w:lineRule="auto"/>
        <w:ind w:left="2108" w:hanging="2108" w:hangingChars="700"/>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项目名称：</w:t>
      </w:r>
      <w:r>
        <w:rPr>
          <w:rFonts w:hint="eastAsia" w:ascii="宋体" w:hAnsi="宋体" w:eastAsia="宋体" w:cs="宋体"/>
          <w:b/>
          <w:bCs/>
          <w:color w:val="auto"/>
          <w:spacing w:val="-11"/>
          <w:kern w:val="0"/>
          <w:sz w:val="30"/>
          <w:szCs w:val="30"/>
          <w:highlight w:val="none"/>
          <w:lang w:eastAsia="zh-CN"/>
        </w:rPr>
        <w:t>辅导员工作室广告采购</w:t>
      </w:r>
    </w:p>
    <w:p>
      <w:pPr>
        <w:widowControl/>
        <w:spacing w:before="75" w:after="75" w:line="480" w:lineRule="auto"/>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项目编号：</w:t>
      </w:r>
      <w:r>
        <w:rPr>
          <w:rFonts w:hint="eastAsia" w:ascii="宋体" w:hAnsi="宋体" w:eastAsia="宋体" w:cs="宋体"/>
          <w:b/>
          <w:bCs/>
          <w:color w:val="auto"/>
          <w:kern w:val="0"/>
          <w:sz w:val="30"/>
          <w:szCs w:val="30"/>
          <w:highlight w:val="none"/>
          <w:lang w:eastAsia="zh-CN"/>
        </w:rPr>
        <w:t xml:space="preserve">闽莆建融【F-2023】采招017号 </w:t>
      </w:r>
    </w:p>
    <w:p>
      <w:pPr>
        <w:widowControl/>
        <w:spacing w:before="75" w:after="75" w:line="48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采购方式：竞争性谈判</w:t>
      </w:r>
    </w:p>
    <w:p>
      <w:pPr>
        <w:widowControl/>
        <w:spacing w:before="75" w:after="75" w:line="480" w:lineRule="auto"/>
        <w:jc w:val="left"/>
        <w:rPr>
          <w:rFonts w:ascii="宋体" w:hAnsi="宋体" w:eastAsia="宋体" w:cs="宋体"/>
          <w:b/>
          <w:bCs/>
          <w:color w:val="auto"/>
          <w:kern w:val="0"/>
          <w:sz w:val="30"/>
          <w:szCs w:val="30"/>
          <w:highlight w:val="none"/>
        </w:rPr>
      </w:pPr>
    </w:p>
    <w:p>
      <w:pPr>
        <w:pStyle w:val="12"/>
        <w:rPr>
          <w:rFonts w:ascii="宋体" w:eastAsia="宋体" w:cs="宋体"/>
          <w:b/>
          <w:bCs/>
          <w:color w:val="auto"/>
          <w:sz w:val="30"/>
          <w:szCs w:val="30"/>
          <w:highlight w:val="none"/>
        </w:rPr>
      </w:pPr>
    </w:p>
    <w:p>
      <w:pPr>
        <w:pStyle w:val="12"/>
        <w:rPr>
          <w:rFonts w:ascii="宋体" w:eastAsia="宋体" w:cs="宋体"/>
          <w:b/>
          <w:bCs/>
          <w:color w:val="auto"/>
          <w:sz w:val="30"/>
          <w:szCs w:val="30"/>
          <w:highlight w:val="none"/>
        </w:rPr>
      </w:pPr>
    </w:p>
    <w:p>
      <w:pPr>
        <w:pStyle w:val="12"/>
        <w:rPr>
          <w:rFonts w:ascii="宋体" w:eastAsia="宋体" w:cs="宋体"/>
          <w:b/>
          <w:bCs/>
          <w:color w:val="auto"/>
          <w:sz w:val="30"/>
          <w:szCs w:val="30"/>
          <w:highlight w:val="none"/>
        </w:rPr>
      </w:pPr>
    </w:p>
    <w:p>
      <w:pPr>
        <w:widowControl/>
        <w:spacing w:before="75" w:after="75" w:line="360" w:lineRule="auto"/>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采购人：</w:t>
      </w:r>
      <w:r>
        <w:rPr>
          <w:rFonts w:hint="eastAsia" w:ascii="宋体" w:hAnsi="宋体" w:eastAsia="宋体" w:cs="宋体"/>
          <w:b/>
          <w:bCs/>
          <w:color w:val="auto"/>
          <w:kern w:val="0"/>
          <w:sz w:val="30"/>
          <w:szCs w:val="30"/>
          <w:highlight w:val="none"/>
          <w:lang w:eastAsia="zh-CN"/>
        </w:rPr>
        <w:t>湄洲湾职业技术学院</w:t>
      </w:r>
    </w:p>
    <w:p>
      <w:pPr>
        <w:widowControl/>
        <w:spacing w:before="75" w:after="75"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 xml:space="preserve">   招标代理机构：</w:t>
      </w:r>
      <w:r>
        <w:rPr>
          <w:rFonts w:hint="eastAsia" w:ascii="宋体" w:hAnsi="宋体" w:eastAsia="宋体" w:cs="宋体"/>
          <w:b/>
          <w:bCs/>
          <w:color w:val="auto"/>
          <w:kern w:val="0"/>
          <w:sz w:val="30"/>
          <w:szCs w:val="30"/>
          <w:highlight w:val="none"/>
          <w:lang w:eastAsia="zh-CN"/>
        </w:rPr>
        <w:t>建融建设管理集团有限责任公司</w:t>
      </w:r>
      <w:r>
        <w:rPr>
          <w:rFonts w:hint="eastAsia" w:ascii="宋体" w:hAnsi="宋体" w:eastAsia="宋体" w:cs="宋体"/>
          <w:b/>
          <w:bCs/>
          <w:color w:val="auto"/>
          <w:kern w:val="0"/>
          <w:sz w:val="30"/>
          <w:szCs w:val="30"/>
          <w:highlight w:val="none"/>
        </w:rPr>
        <w:t> </w:t>
      </w:r>
    </w:p>
    <w:p>
      <w:pPr>
        <w:widowControl/>
        <w:spacing w:before="75" w:after="75" w:line="48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 xml:space="preserve"> 2023年0</w:t>
      </w:r>
      <w:r>
        <w:rPr>
          <w:rFonts w:hint="eastAsia" w:ascii="宋体" w:hAnsi="宋体" w:eastAsia="宋体" w:cs="宋体"/>
          <w:b/>
          <w:bCs/>
          <w:color w:val="auto"/>
          <w:kern w:val="0"/>
          <w:sz w:val="30"/>
          <w:szCs w:val="30"/>
          <w:highlight w:val="none"/>
          <w:lang w:val="en-US" w:eastAsia="zh-CN"/>
        </w:rPr>
        <w:t>8</w:t>
      </w:r>
      <w:r>
        <w:rPr>
          <w:rFonts w:hint="eastAsia" w:ascii="宋体" w:hAnsi="宋体" w:eastAsia="宋体" w:cs="宋体"/>
          <w:b/>
          <w:bCs/>
          <w:color w:val="auto"/>
          <w:kern w:val="0"/>
          <w:sz w:val="30"/>
          <w:szCs w:val="30"/>
          <w:highlight w:val="none"/>
        </w:rPr>
        <w:t>月 </w:t>
      </w:r>
    </w:p>
    <w:p>
      <w:pPr>
        <w:widowControl/>
        <w:spacing w:before="75" w:after="75"/>
        <w:jc w:val="center"/>
        <w:rPr>
          <w:rFonts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 </w:t>
      </w:r>
    </w:p>
    <w:p>
      <w:pPr>
        <w:rPr>
          <w:rFonts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br w:type="page"/>
      </w: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44"/>
          <w:szCs w:val="44"/>
          <w:highlight w:val="none"/>
        </w:rPr>
        <w:t>第一章  采购公告/采购邀请书</w:t>
      </w:r>
    </w:p>
    <w:p>
      <w:pPr>
        <w:widowControl/>
        <w:spacing w:before="75" w:after="75"/>
        <w:jc w:val="center"/>
        <w:rPr>
          <w:rFonts w:ascii="宋体" w:hAnsi="宋体" w:eastAsia="宋体" w:cs="宋体"/>
          <w:b/>
          <w:bCs/>
          <w:color w:val="auto"/>
          <w:kern w:val="0"/>
          <w:sz w:val="44"/>
          <w:szCs w:val="44"/>
          <w:highlight w:val="none"/>
        </w:rPr>
      </w:pPr>
      <w:r>
        <w:rPr>
          <w:rFonts w:hint="eastAsia" w:ascii="宋体" w:hAnsi="宋体" w:eastAsia="宋体" w:cs="宋体"/>
          <w:b/>
          <w:bCs/>
          <w:color w:val="auto"/>
          <w:kern w:val="0"/>
          <w:sz w:val="44"/>
          <w:szCs w:val="44"/>
          <w:highlight w:val="none"/>
        </w:rPr>
        <w:t>竞争性谈判采购公告</w:t>
      </w:r>
    </w:p>
    <w:p>
      <w:pPr>
        <w:pStyle w:val="12"/>
        <w:rPr>
          <w:rFonts w:ascii="宋体" w:eastAsia="宋体" w:cs="宋体"/>
          <w:color w:val="auto"/>
          <w:highlight w:val="none"/>
        </w:rPr>
      </w:pPr>
    </w:p>
    <w:p>
      <w:pPr>
        <w:widowControl/>
        <w:snapToGrid w:val="0"/>
        <w:spacing w:line="400" w:lineRule="exact"/>
        <w:ind w:firstLine="482" w:firstLineChars="20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eastAsia="zh-CN"/>
        </w:rPr>
        <w:t>湄洲湾职业技术学院</w:t>
      </w:r>
      <w:r>
        <w:rPr>
          <w:rFonts w:hint="eastAsia" w:ascii="宋体" w:hAnsi="宋体" w:eastAsia="宋体" w:cs="宋体"/>
          <w:color w:val="auto"/>
          <w:kern w:val="0"/>
          <w:sz w:val="24"/>
          <w:szCs w:val="24"/>
          <w:highlight w:val="none"/>
        </w:rPr>
        <w:t>已根据政府采购相关法律法规，经相应程序确定采用竞争性谈判方式组织</w:t>
      </w:r>
      <w:r>
        <w:rPr>
          <w:rFonts w:hint="eastAsia" w:ascii="宋体" w:hAnsi="宋体" w:eastAsia="宋体" w:cs="宋体"/>
          <w:b/>
          <w:bCs/>
          <w:color w:val="auto"/>
          <w:kern w:val="0"/>
          <w:sz w:val="24"/>
          <w:szCs w:val="24"/>
          <w:highlight w:val="none"/>
          <w:lang w:eastAsia="zh-CN"/>
        </w:rPr>
        <w:t>辅导员工作室广告采购</w:t>
      </w:r>
      <w:r>
        <w:rPr>
          <w:rFonts w:hint="eastAsia" w:ascii="宋体" w:hAnsi="宋体" w:eastAsia="宋体" w:cs="宋体"/>
          <w:b/>
          <w:bCs/>
          <w:color w:val="auto"/>
          <w:kern w:val="0"/>
          <w:sz w:val="24"/>
          <w:szCs w:val="24"/>
          <w:highlight w:val="none"/>
        </w:rPr>
        <w:t>项目</w:t>
      </w:r>
      <w:r>
        <w:rPr>
          <w:rFonts w:hint="eastAsia" w:ascii="宋体" w:hAnsi="宋体" w:eastAsia="宋体" w:cs="宋体"/>
          <w:color w:val="auto"/>
          <w:kern w:val="0"/>
          <w:sz w:val="24"/>
          <w:szCs w:val="24"/>
          <w:highlight w:val="none"/>
        </w:rPr>
        <w:t>（以下简称：“本项目”）的政府采购活动，现欢迎国内合格的供应商前来参加。本项目由采购人委托</w:t>
      </w:r>
      <w:r>
        <w:rPr>
          <w:rFonts w:hint="eastAsia" w:ascii="宋体" w:hAnsi="宋体" w:eastAsia="宋体" w:cs="宋体"/>
          <w:color w:val="auto"/>
          <w:kern w:val="0"/>
          <w:sz w:val="24"/>
          <w:szCs w:val="24"/>
          <w:highlight w:val="none"/>
          <w:lang w:eastAsia="zh-CN"/>
        </w:rPr>
        <w:t>建融建设管理集团有限责任公司</w:t>
      </w:r>
      <w:r>
        <w:rPr>
          <w:rFonts w:hint="eastAsia" w:ascii="宋体" w:hAnsi="宋体" w:eastAsia="宋体" w:cs="宋体"/>
          <w:color w:val="auto"/>
          <w:kern w:val="0"/>
          <w:sz w:val="24"/>
          <w:szCs w:val="24"/>
          <w:highlight w:val="none"/>
        </w:rPr>
        <w:t>开展竞争性谈判活动。</w:t>
      </w:r>
    </w:p>
    <w:p>
      <w:pPr>
        <w:widowControl/>
        <w:snapToGrid w:val="0"/>
        <w:spacing w:line="40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shd w:val="clear" w:color="auto" w:fill="FFFFFF"/>
        </w:rPr>
        <w:t>   1.项目名称：</w:t>
      </w:r>
      <w:r>
        <w:rPr>
          <w:rFonts w:hint="eastAsia" w:ascii="宋体" w:hAnsi="宋体" w:eastAsia="宋体" w:cs="宋体"/>
          <w:color w:val="auto"/>
          <w:kern w:val="0"/>
          <w:sz w:val="24"/>
          <w:szCs w:val="24"/>
          <w:highlight w:val="none"/>
          <w:shd w:val="clear" w:color="auto" w:fill="FFFFFF"/>
          <w:lang w:eastAsia="zh-CN"/>
        </w:rPr>
        <w:t>辅导员工作室广告采购</w:t>
      </w:r>
    </w:p>
    <w:p>
      <w:pPr>
        <w:widowControl/>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   2.项目编号：</w:t>
      </w:r>
      <w:r>
        <w:rPr>
          <w:rFonts w:hint="eastAsia" w:ascii="宋体" w:hAnsi="宋体" w:eastAsia="宋体" w:cs="宋体"/>
          <w:color w:val="auto"/>
          <w:kern w:val="0"/>
          <w:sz w:val="24"/>
          <w:szCs w:val="24"/>
          <w:highlight w:val="none"/>
          <w:shd w:val="clear" w:color="auto" w:fill="FFFFFF"/>
          <w:lang w:eastAsia="zh-CN"/>
        </w:rPr>
        <w:t xml:space="preserve">闽莆建融【F-2023】采招017号 </w:t>
      </w:r>
      <w:r>
        <w:rPr>
          <w:rFonts w:hint="eastAsia" w:ascii="宋体" w:hAnsi="宋体" w:eastAsia="宋体" w:cs="宋体"/>
          <w:color w:val="auto"/>
          <w:kern w:val="0"/>
          <w:sz w:val="24"/>
          <w:szCs w:val="24"/>
          <w:highlight w:val="none"/>
        </w:rPr>
        <w:t xml:space="preserve">   </w:t>
      </w:r>
    </w:p>
    <w:p>
      <w:pPr>
        <w:widowControl/>
        <w:snapToGrid w:val="0"/>
        <w:spacing w:line="40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3.采购内容及要求：</w:t>
      </w:r>
      <w:r>
        <w:rPr>
          <w:rFonts w:hint="eastAsia" w:ascii="宋体" w:hAnsi="宋体" w:eastAsia="宋体" w:cs="宋体"/>
          <w:color w:val="auto"/>
          <w:sz w:val="24"/>
          <w:highlight w:val="none"/>
          <w:shd w:val="clear" w:color="auto" w:fill="FFFFFF"/>
        </w:rPr>
        <w:t>详见附1采购标的一览表及谈判文件第三章</w:t>
      </w:r>
    </w:p>
    <w:p>
      <w:pPr>
        <w:widowControl/>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4.采购项目需要落实的政府采购政策：</w:t>
      </w:r>
      <w:r>
        <w:rPr>
          <w:rFonts w:hint="eastAsia" w:ascii="宋体" w:hAnsi="宋体" w:eastAsia="宋体" w:cs="宋体"/>
          <w:color w:val="auto"/>
          <w:sz w:val="24"/>
          <w:szCs w:val="24"/>
          <w:highlight w:val="none"/>
        </w:rPr>
        <w:t>进口产品，适用于（无），节能产品，适用于（所有合同包或品目号），按照《关于印发节能产品政府采购品目清单的通知》财库〔2019〕19号执行。环境标志产品，适用于（所有合同包或品目号），按照《关于印发环境标志产品政府采购品目清单的通知》财库〔2019〕18号执行。信息安全产品，适用于（所有合同包或品目号）。小型、微型企业符合财政部、工信部文件（财库〔2020〕46号），适用于（所有合同包或品目号）。监狱企业，适用于（所有合同包或品目号）。残疾人就业政府采购政策，适用于（所有合同包或品目号）。信用记录，适用于（所有合同包或品目号），按照下列规定执行：（1）供应商应在（招标文件要求的截止时点）前分别通过“信用中国”网站（www.creditchina.gov.cn）、中国政府采购网（www.ccgp.gov.cn）查询并打印相应的信用记录（以下简称：“供应商提供的查询结果”），供应商提供的查询结果应为其通过上述网站获取的信用信息查询结果原始页面的打印件（或截图）。（2）查询结果的审查：①由资格审查小组通过上述网站查询并打印供应商信用记录（以下简称：“资格审查小组的查询结果”）。②供应商提供的查询结果与资格审查小组的查询结果不一致的，以资格审查小组的查询结果为准。③因上述网站原因导致资格审查小组无法查询供应商信用记录的（资格审查小组应将通过上述网站查询供应商信用记录时的原始页面打印后随采购文件一并存档），以供应商提供的查询结果为准。④查询结果存在供应商应被拒绝参与政府采购活动相关信息的，其资格审查不合格。</w:t>
      </w:r>
    </w:p>
    <w:p>
      <w:pPr>
        <w:widowControl/>
        <w:snapToGrid w:val="0"/>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5.供应商的资格要求</w:t>
      </w:r>
    </w:p>
    <w:p>
      <w:pPr>
        <w:pStyle w:val="13"/>
        <w:widowControl/>
        <w:spacing w:before="75" w:after="75"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   5.1法定条件：符合《中华人民共和国政府采购法》第二十二条第一款规定的条件。</w:t>
      </w:r>
    </w:p>
    <w:p>
      <w:pPr>
        <w:pStyle w:val="13"/>
        <w:widowControl/>
        <w:spacing w:before="75" w:after="75"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   5.2特定条件：</w:t>
      </w:r>
    </w:p>
    <w:p>
      <w:pPr>
        <w:pStyle w:val="13"/>
        <w:widowControl/>
        <w:spacing w:before="75" w:after="240"/>
        <w:ind w:firstLine="840"/>
        <w:rPr>
          <w:rFonts w:ascii="宋体" w:hAnsi="宋体" w:eastAsia="宋体" w:cs="宋体"/>
          <w:color w:val="auto"/>
          <w:highlight w:val="none"/>
        </w:rPr>
      </w:pPr>
      <w:r>
        <w:rPr>
          <w:rStyle w:val="23"/>
          <w:rFonts w:hint="eastAsia" w:ascii="宋体" w:hAnsi="宋体" w:eastAsia="宋体" w:cs="宋体"/>
          <w:color w:val="auto"/>
          <w:highlight w:val="none"/>
          <w:shd w:val="clear" w:color="auto" w:fill="FFFFFF"/>
        </w:rPr>
        <w:t>包：1</w:t>
      </w:r>
    </w:p>
    <w:tbl>
      <w:tblPr>
        <w:tblStyle w:val="20"/>
        <w:tblW w:w="9658" w:type="dxa"/>
        <w:tblCellSpacing w:w="0"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9"/>
        <w:gridCol w:w="7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745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招标文件规定的其他资格证明文件（若有）</w:t>
            </w:r>
          </w:p>
        </w:tc>
        <w:tc>
          <w:tcPr>
            <w:tcW w:w="745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vAlign w:val="center"/>
          </w:tcPr>
          <w:p>
            <w:pPr>
              <w:widowControl/>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bidi="ar"/>
              </w:rPr>
              <w:t>具备履行合同所必需设备和专业技术能力专项证明材料</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若有</w:t>
            </w:r>
            <w:r>
              <w:rPr>
                <w:rFonts w:hint="eastAsia" w:ascii="宋体" w:hAnsi="宋体" w:eastAsia="宋体" w:cs="宋体"/>
                <w:color w:val="auto"/>
                <w:kern w:val="0"/>
                <w:sz w:val="24"/>
                <w:szCs w:val="24"/>
                <w:highlight w:val="none"/>
                <w:lang w:eastAsia="zh-CN" w:bidi="ar"/>
              </w:rPr>
              <w:t>）</w:t>
            </w:r>
          </w:p>
        </w:tc>
        <w:tc>
          <w:tcPr>
            <w:tcW w:w="745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19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本采购包属于专门面向中小企业采购。</w:t>
            </w:r>
          </w:p>
        </w:tc>
        <w:tc>
          <w:tcPr>
            <w:tcW w:w="745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w:t>
            </w:r>
            <w:r>
              <w:rPr>
                <w:rFonts w:ascii="宋体" w:hAnsi="宋体" w:eastAsia="宋体" w:cs="宋体"/>
                <w:color w:val="auto"/>
                <w:sz w:val="24"/>
                <w:szCs w:val="24"/>
                <w:highlight w:val="none"/>
                <w:shd w:val="clear"/>
                <w:lang w:eastAsia="zh-CN" w:bidi="ar"/>
              </w:rPr>
              <w:t>本项目专门面向符合财政部、工信部文件（财库〔2020〕46号）规定的中、小、微企业即服务只能由中、小、微型企业承接。供应商须按照本谈判文件规定的范本提供《中小企业声明函》（工程、服务）。供应商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供应商为监狱企业的，可不提供中小企业声明函（工程、服务），但须提供由省级以上监狱管理局、戒毒管理局（含新疆生产建设兵团）出具的属于监狱企业的证明文件。③残疾人福利性单位视同小型、微型企业，供应商为残疾人福利性单位的，可不提供中小企业声明函（工程、服务），但须提供的《残疾人福利性单位声明函》。④享受扶持政策获得政府采购合同的，小微企业不得将合同分包给大中型企业，中型企业不得将合同分包给大型企业。</w:t>
            </w:r>
            <w:r>
              <w:rPr>
                <w:rFonts w:ascii="宋体" w:hAnsi="宋体" w:eastAsia="宋体" w:cs="宋体"/>
                <w:b/>
                <w:bCs/>
                <w:color w:val="auto"/>
                <w:sz w:val="24"/>
                <w:szCs w:val="24"/>
                <w:highlight w:val="none"/>
                <w:shd w:val="clear"/>
                <w:lang w:eastAsia="zh-CN" w:bidi="ar"/>
              </w:rPr>
              <w:t>⑤本项目为</w:t>
            </w:r>
            <w:r>
              <w:rPr>
                <w:rFonts w:hint="eastAsia" w:ascii="宋体" w:hAnsi="宋体" w:eastAsia="宋体" w:cs="宋体"/>
                <w:b/>
                <w:bCs/>
                <w:color w:val="auto"/>
                <w:sz w:val="24"/>
                <w:szCs w:val="24"/>
                <w:highlight w:val="none"/>
                <w:shd w:val="clear"/>
                <w:lang w:eastAsia="zh-CN" w:bidi="ar"/>
              </w:rPr>
              <w:t>货物类</w:t>
            </w:r>
            <w:r>
              <w:rPr>
                <w:rFonts w:ascii="宋体" w:hAnsi="宋体" w:eastAsia="宋体" w:cs="宋体"/>
                <w:b/>
                <w:bCs/>
                <w:color w:val="auto"/>
                <w:sz w:val="24"/>
                <w:szCs w:val="24"/>
                <w:highlight w:val="none"/>
                <w:shd w:val="clear"/>
                <w:lang w:eastAsia="zh-CN" w:bidi="ar"/>
              </w:rPr>
              <w:t>采购项目，采购标的对应的中小企业划分标准所属行业见竞争性谈判文件第一章“</w:t>
            </w:r>
            <w:r>
              <w:rPr>
                <w:rFonts w:ascii="宋体" w:hAnsi="宋体" w:eastAsia="宋体" w:cs="宋体"/>
                <w:b/>
                <w:bCs/>
                <w:color w:val="auto"/>
                <w:sz w:val="24"/>
                <w:highlight w:val="none"/>
                <w:shd w:val="clear"/>
              </w:rPr>
              <w:t>采</w:t>
            </w:r>
            <w:r>
              <w:rPr>
                <w:rFonts w:ascii="宋体" w:hAnsi="宋体" w:eastAsia="宋体" w:cs="宋体"/>
                <w:b/>
                <w:bCs/>
                <w:color w:val="auto"/>
                <w:sz w:val="24"/>
                <w:highlight w:val="none"/>
              </w:rPr>
              <w:t>购标的一览表</w:t>
            </w:r>
            <w:r>
              <w:rPr>
                <w:rFonts w:ascii="宋体" w:hAnsi="宋体" w:eastAsia="宋体" w:cs="宋体"/>
                <w:b/>
                <w:bCs/>
                <w:color w:val="auto"/>
                <w:sz w:val="24"/>
                <w:szCs w:val="24"/>
                <w:highlight w:val="none"/>
                <w:lang w:eastAsia="zh-CN" w:bidi="ar"/>
              </w:rPr>
              <w:t>”。</w:t>
            </w:r>
          </w:p>
        </w:tc>
      </w:tr>
    </w:tbl>
    <w:p>
      <w:pPr>
        <w:pStyle w:val="13"/>
        <w:widowControl/>
        <w:spacing w:before="75" w:after="75" w:line="360" w:lineRule="atLeast"/>
        <w:ind w:firstLine="480"/>
        <w:rPr>
          <w:rFonts w:ascii="宋体" w:hAnsi="宋体" w:eastAsia="宋体" w:cs="宋体"/>
          <w:color w:val="auto"/>
          <w:sz w:val="27"/>
          <w:szCs w:val="27"/>
          <w:highlight w:val="none"/>
        </w:rPr>
      </w:pPr>
      <w:r>
        <w:rPr>
          <w:rFonts w:hint="eastAsia" w:ascii="宋体" w:hAnsi="宋体" w:eastAsia="宋体" w:cs="宋体"/>
          <w:color w:val="auto"/>
          <w:highlight w:val="none"/>
          <w:shd w:val="clear" w:color="auto" w:fill="FFFFFF"/>
        </w:rPr>
        <w:t>5.3是否接受联合体形式的响应谈判：不接受</w:t>
      </w:r>
    </w:p>
    <w:p>
      <w:pPr>
        <w:widowControl/>
        <w:snapToGrid w:val="0"/>
        <w:spacing w:line="400" w:lineRule="exact"/>
        <w:ind w:firstLine="480" w:firstLineChars="200"/>
        <w:jc w:val="left"/>
        <w:rPr>
          <w:rFonts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rPr>
        <w:t>6.</w:t>
      </w:r>
      <w:r>
        <w:rPr>
          <w:rFonts w:hint="eastAsia" w:ascii="宋体" w:hAnsi="宋体" w:eastAsia="宋体" w:cs="宋体"/>
          <w:b/>
          <w:color w:val="auto"/>
          <w:sz w:val="24"/>
          <w:szCs w:val="24"/>
          <w:highlight w:val="none"/>
        </w:rPr>
        <w:t>报名时间：</w:t>
      </w:r>
    </w:p>
    <w:p>
      <w:pPr>
        <w:widowControl/>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r>
        <w:rPr>
          <w:rFonts w:hint="eastAsia" w:ascii="宋体" w:hAnsi="宋体" w:eastAsia="宋体" w:cs="宋体"/>
          <w:color w:val="auto"/>
          <w:kern w:val="0"/>
          <w:sz w:val="24"/>
          <w:szCs w:val="24"/>
          <w:highlight w:val="none"/>
        </w:rPr>
        <w:t>.供应商报名期限：</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14</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18</w:t>
      </w:r>
      <w:r>
        <w:rPr>
          <w:rFonts w:hint="eastAsia" w:ascii="宋体" w:hAnsi="宋体" w:eastAsia="宋体" w:cs="宋体"/>
          <w:color w:val="auto"/>
          <w:sz w:val="24"/>
          <w:szCs w:val="24"/>
          <w:highlight w:val="none"/>
        </w:rPr>
        <w:t>日止，北京时间8:00-12:00，14:30-17：30时（节假日除外）。</w:t>
      </w:r>
    </w:p>
    <w:p>
      <w:pPr>
        <w:snapToGrid w:val="0"/>
        <w:spacing w:line="4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6.2招标文件获取地点及方式：</w:t>
      </w:r>
    </w:p>
    <w:p>
      <w:pPr>
        <w:snapToGrid w:val="0"/>
        <w:spacing w:line="4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①上门报名：供应商直接到</w:t>
      </w:r>
      <w:r>
        <w:rPr>
          <w:rFonts w:hint="eastAsia" w:ascii="宋体" w:hAnsi="宋体" w:eastAsia="宋体" w:cs="宋体"/>
          <w:color w:val="auto"/>
          <w:sz w:val="24"/>
          <w:szCs w:val="24"/>
          <w:highlight w:val="none"/>
          <w:lang w:eastAsia="zh-CN"/>
        </w:rPr>
        <w:t>建融建设管理集团有限责任公司</w:t>
      </w:r>
      <w:r>
        <w:rPr>
          <w:rFonts w:hint="eastAsia" w:ascii="宋体" w:hAnsi="宋体" w:eastAsia="宋体" w:cs="宋体"/>
          <w:color w:val="auto"/>
          <w:sz w:val="24"/>
          <w:szCs w:val="24"/>
          <w:highlight w:val="none"/>
        </w:rPr>
        <w:t>购买招标文件。</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 xml:space="preserve">    ②邮箱方式报名：即供应商先将报名人全称、地址、电话、传真、联系人、手机、E-mail、报名项目编号、项目名称等发送至我司邮箱（邮箱号：</w:t>
      </w:r>
      <w:r>
        <w:rPr>
          <w:rFonts w:hint="eastAsia" w:ascii="宋体" w:hAnsi="宋体" w:eastAsia="宋体" w:cs="宋体"/>
          <w:color w:val="auto"/>
          <w:sz w:val="24"/>
          <w:szCs w:val="24"/>
          <w:highlight w:val="none"/>
          <w:lang w:eastAsia="zh-CN"/>
        </w:rPr>
        <w:t>jr2661777@163.com</w:t>
      </w:r>
      <w:r>
        <w:rPr>
          <w:rFonts w:hint="eastAsia" w:ascii="宋体" w:hAnsi="宋体" w:eastAsia="宋体" w:cs="宋体"/>
          <w:color w:val="auto"/>
          <w:sz w:val="24"/>
          <w:szCs w:val="24"/>
          <w:highlight w:val="none"/>
        </w:rPr>
        <w:t>），我司再将招标文件通过电子邮件方式发送给报名人。</w:t>
      </w:r>
    </w:p>
    <w:p>
      <w:pPr>
        <w:pStyle w:val="2"/>
        <w:spacing w:after="0" w:line="400" w:lineRule="exact"/>
        <w:ind w:firstLine="480" w:firstLineChars="200"/>
        <w:rPr>
          <w:rFonts w:ascii="宋体" w:hAnsi="宋体" w:eastAsia="宋体" w:cs="宋体"/>
          <w:color w:val="auto"/>
          <w:sz w:val="24"/>
          <w:szCs w:val="24"/>
          <w:highlight w:val="none"/>
          <w:lang w:val="en-US"/>
        </w:rPr>
      </w:pPr>
      <w:r>
        <w:rPr>
          <w:rFonts w:ascii="宋体" w:hAnsi="宋体" w:eastAsia="宋体" w:cs="宋体"/>
          <w:color w:val="auto"/>
          <w:sz w:val="24"/>
          <w:szCs w:val="24"/>
          <w:highlight w:val="none"/>
          <w:lang w:val="en-US"/>
        </w:rPr>
        <w:t>③</w:t>
      </w:r>
      <w:r>
        <w:rPr>
          <w:rFonts w:hint="eastAsia" w:ascii="宋体" w:hAnsi="宋体" w:eastAsia="宋体" w:cs="宋体"/>
          <w:color w:val="auto"/>
          <w:sz w:val="24"/>
          <w:szCs w:val="24"/>
          <w:highlight w:val="none"/>
          <w:lang w:val="en-US"/>
        </w:rPr>
        <w:t>招标文件工本费：100元/本(含电子文档)。</w:t>
      </w:r>
    </w:p>
    <w:p>
      <w:pPr>
        <w:widowControl/>
        <w:snapToGrid w:val="0"/>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   6.3如果采购过程中有发出更正公告，采购人将根据实际情况确定是否延长报名期限，则报名截止时间以更正公告中的约定为准。</w:t>
      </w:r>
    </w:p>
    <w:p>
      <w:pPr>
        <w:widowControl/>
        <w:snapToGrid w:val="0"/>
        <w:spacing w:line="400" w:lineRule="exact"/>
        <w:ind w:firstLine="482" w:firstLineChars="200"/>
        <w:jc w:val="left"/>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7、投标截止时间、开标时间和地点：</w:t>
      </w:r>
    </w:p>
    <w:p>
      <w:pPr>
        <w:snapToGrid w:val="0"/>
        <w:spacing w:line="400" w:lineRule="exact"/>
        <w:ind w:firstLine="480" w:firstLineChars="200"/>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rPr>
        <w:t>7.1投标截止时间、开标时间和地点：</w:t>
      </w:r>
      <w:r>
        <w:rPr>
          <w:rFonts w:hint="eastAsia" w:ascii="宋体" w:hAnsi="宋体" w:eastAsia="宋体" w:cs="宋体"/>
          <w:color w:val="auto"/>
          <w:sz w:val="24"/>
          <w:szCs w:val="24"/>
          <w:highlight w:val="none"/>
          <w:u w:val="single"/>
        </w:rPr>
        <w:t>2023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08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18</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09</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eastAsia="zh-CN"/>
        </w:rPr>
        <w:t>莆田市城厢区凤凰路569号D区会议室</w:t>
      </w:r>
      <w:r>
        <w:rPr>
          <w:rFonts w:hint="eastAsia" w:ascii="宋体" w:hAnsi="宋体" w:eastAsia="宋体" w:cs="宋体"/>
          <w:color w:val="auto"/>
          <w:sz w:val="24"/>
          <w:szCs w:val="24"/>
          <w:highlight w:val="none"/>
        </w:rPr>
        <w:t>。投标文件在</w:t>
      </w:r>
      <w:r>
        <w:rPr>
          <w:rFonts w:hint="eastAsia" w:ascii="宋体" w:hAnsi="宋体" w:eastAsia="宋体" w:cs="宋体"/>
          <w:b/>
          <w:color w:val="auto"/>
          <w:sz w:val="24"/>
          <w:szCs w:val="24"/>
          <w:highlight w:val="none"/>
        </w:rPr>
        <w:t>开标现场由招标代理机构工作人员接收。</w:t>
      </w:r>
    </w:p>
    <w:p>
      <w:pPr>
        <w:snapToGrid w:val="0"/>
        <w:spacing w:line="40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8、</w:t>
      </w:r>
      <w:r>
        <w:rPr>
          <w:rFonts w:hint="eastAsia" w:ascii="宋体" w:hAnsi="宋体" w:eastAsia="宋体" w:cs="宋体"/>
          <w:b/>
          <w:color w:val="auto"/>
          <w:sz w:val="24"/>
          <w:szCs w:val="24"/>
          <w:highlight w:val="none"/>
          <w:lang w:eastAsia="zh-CN"/>
        </w:rPr>
        <w:t>建融建设管理集团有限责任公司</w:t>
      </w:r>
      <w:r>
        <w:rPr>
          <w:rFonts w:hint="eastAsia" w:ascii="宋体" w:hAnsi="宋体" w:eastAsia="宋体" w:cs="宋体"/>
          <w:b/>
          <w:color w:val="auto"/>
          <w:sz w:val="24"/>
          <w:szCs w:val="24"/>
          <w:highlight w:val="none"/>
        </w:rPr>
        <w:t>指定账户：</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合同包一投标保证金为人民币</w:t>
      </w:r>
      <w:r>
        <w:rPr>
          <w:rFonts w:hint="eastAsia" w:ascii="宋体" w:hAnsi="宋体" w:eastAsia="宋体" w:cs="宋体"/>
          <w:color w:val="auto"/>
          <w:sz w:val="24"/>
          <w:szCs w:val="24"/>
          <w:highlight w:val="none"/>
          <w:lang w:eastAsia="zh-CN"/>
        </w:rPr>
        <w:t>伍</w:t>
      </w:r>
      <w:r>
        <w:rPr>
          <w:rFonts w:hint="eastAsia" w:ascii="宋体" w:hAnsi="宋体" w:eastAsia="宋体" w:cs="宋体"/>
          <w:color w:val="auto"/>
          <w:sz w:val="24"/>
          <w:szCs w:val="24"/>
          <w:highlight w:val="none"/>
        </w:rPr>
        <w:t>佰元整(¥</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元)</w:t>
      </w:r>
    </w:p>
    <w:p>
      <w:pPr>
        <w:snapToGrid w:val="0"/>
        <w:spacing w:line="400" w:lineRule="exact"/>
        <w:ind w:left="61" w:leftChars="29" w:right="199" w:rightChars="95" w:firstLine="398" w:firstLineChars="166"/>
        <w:rPr>
          <w:rFonts w:hint="eastAsia" w:ascii="宋体" w:hAnsi="宋体" w:cs="宋体" w:eastAsiaTheme="minorEastAsia"/>
          <w:bCs/>
          <w:color w:val="auto"/>
          <w:sz w:val="24"/>
          <w:highlight w:val="none"/>
          <w:lang w:eastAsia="zh-CN"/>
        </w:rPr>
      </w:pPr>
      <w:r>
        <w:rPr>
          <w:rFonts w:hint="eastAsia" w:ascii="宋体" w:hAnsi="宋体" w:cs="宋体"/>
          <w:bCs/>
          <w:color w:val="auto"/>
          <w:sz w:val="24"/>
          <w:highlight w:val="none"/>
        </w:rPr>
        <w:t>开户名—建融建设管理集团有限责任公司莆田咨询分公司，开户行—中国农业银行莆田市分行，帐号—13400201040007163</w:t>
      </w:r>
      <w:r>
        <w:rPr>
          <w:rFonts w:hint="eastAsia" w:ascii="宋体" w:hAnsi="宋体" w:cs="宋体"/>
          <w:bCs/>
          <w:color w:val="auto"/>
          <w:sz w:val="24"/>
          <w:highlight w:val="none"/>
          <w:lang w:eastAsia="zh-CN"/>
        </w:rPr>
        <w:t>。</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应以电汇、转帐等公对公、非现金形式于投标截止时间前缴纳至指定的账号，以款到帐户为准。投标人在缴纳保证金时必须以公司的帐户或公司的名称缴纳，不得以投标代表个人的名称缴纳。请投标人在存款单上注明招标文件的编号及投标单位名称。</w:t>
      </w:r>
      <w:r>
        <w:rPr>
          <w:rFonts w:hint="eastAsia" w:ascii="宋体" w:hAnsi="宋体" w:eastAsia="宋体" w:cs="宋体"/>
          <w:b/>
          <w:bCs/>
          <w:color w:val="auto"/>
          <w:sz w:val="24"/>
          <w:szCs w:val="24"/>
          <w:highlight w:val="none"/>
        </w:rPr>
        <w:t>投标人开标时应提交一份投标保证金缴交凭证和银行开户许可证复印件（加盖投标人公章），用于退还投标保证金。</w:t>
      </w:r>
    </w:p>
    <w:p>
      <w:pPr>
        <w:widowControl/>
        <w:snapToGrid w:val="0"/>
        <w:spacing w:line="400" w:lineRule="exact"/>
        <w:ind w:firstLine="482" w:firstLineChars="200"/>
        <w:jc w:val="left"/>
        <w:rPr>
          <w:rFonts w:ascii="宋体" w:hAnsi="宋体" w:eastAsia="宋体" w:cs="宋体"/>
          <w:b/>
          <w:color w:val="auto"/>
          <w:kern w:val="0"/>
          <w:sz w:val="24"/>
          <w:szCs w:val="24"/>
          <w:highlight w:val="none"/>
        </w:rPr>
      </w:pPr>
      <w:r>
        <w:rPr>
          <w:rFonts w:hint="eastAsia" w:ascii="宋体" w:hAnsi="宋体" w:eastAsia="宋体" w:cs="宋体"/>
          <w:b/>
          <w:bCs/>
          <w:color w:val="auto"/>
          <w:kern w:val="0"/>
          <w:sz w:val="24"/>
          <w:szCs w:val="24"/>
          <w:highlight w:val="none"/>
        </w:rPr>
        <w:t>9、采购信息发布网站（询价公告、更改通知、答疑纪要、成交结果等信息）</w:t>
      </w:r>
    </w:p>
    <w:p>
      <w:pPr>
        <w:widowControl/>
        <w:snapToGrid w:val="0"/>
        <w:spacing w:line="40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中国政府采购网、中国采购与招标网</w:t>
      </w:r>
      <w:r>
        <w:rPr>
          <w:rFonts w:hint="eastAsia" w:ascii="宋体" w:hAnsi="宋体" w:eastAsia="宋体" w:cs="宋体"/>
          <w:color w:val="auto"/>
          <w:sz w:val="24"/>
          <w:szCs w:val="24"/>
          <w:highlight w:val="none"/>
          <w:lang w:eastAsia="zh-CN"/>
        </w:rPr>
        <w:t>、</w:t>
      </w:r>
      <w:r>
        <w:rPr>
          <w:rFonts w:hint="eastAsia" w:ascii="宋体" w:hAnsi="宋体" w:cs="宋体"/>
          <w:sz w:val="24"/>
          <w:lang w:eastAsia="zh-CN"/>
        </w:rPr>
        <w:t>湄洲湾职业技术学院网</w:t>
      </w:r>
    </w:p>
    <w:p>
      <w:pPr>
        <w:widowControl/>
        <w:snapToGrid w:val="0"/>
        <w:spacing w:line="40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10.竞争性谈判公告期限：自财政部指定的政府采购信息发布媒体最先发布公告之日起3个工作日。</w:t>
      </w:r>
    </w:p>
    <w:p>
      <w:pPr>
        <w:snapToGrid w:val="0"/>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szCs w:val="24"/>
          <w:highlight w:val="none"/>
        </w:rPr>
        <w:t>11.</w:t>
      </w:r>
      <w:bookmarkStart w:id="0" w:name="_Toc28359008"/>
      <w:r>
        <w:rPr>
          <w:rFonts w:hint="eastAsia" w:ascii="宋体" w:hAnsi="宋体" w:eastAsia="宋体" w:cs="宋体"/>
          <w:color w:val="auto"/>
          <w:sz w:val="24"/>
          <w:highlight w:val="none"/>
        </w:rPr>
        <w:t>对本次招标提出询问，请按</w:t>
      </w:r>
      <w:bookmarkEnd w:id="0"/>
      <w:r>
        <w:rPr>
          <w:rFonts w:hint="eastAsia" w:ascii="宋体" w:hAnsi="宋体" w:eastAsia="宋体" w:cs="宋体"/>
          <w:color w:val="auto"/>
          <w:sz w:val="24"/>
          <w:highlight w:val="none"/>
        </w:rPr>
        <w:t>以下方式联系</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采购单位：</w:t>
      </w:r>
      <w:r>
        <w:rPr>
          <w:rFonts w:hint="eastAsia" w:ascii="宋体" w:hAnsi="宋体" w:eastAsia="宋体" w:cs="宋体"/>
          <w:color w:val="auto"/>
          <w:sz w:val="24"/>
          <w:highlight w:val="none"/>
          <w:lang w:eastAsia="zh-CN"/>
        </w:rPr>
        <w:t>湄洲湾职业技术学院</w:t>
      </w:r>
    </w:p>
    <w:p>
      <w:pPr>
        <w:snapToGrid w:val="0"/>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地址：</w:t>
      </w:r>
      <w:r>
        <w:rPr>
          <w:rFonts w:hint="eastAsia" w:ascii="宋体" w:hAnsi="宋体" w:eastAsia="宋体" w:cs="宋体"/>
          <w:color w:val="auto"/>
          <w:kern w:val="0"/>
          <w:sz w:val="24"/>
          <w:highlight w:val="none"/>
        </w:rPr>
        <w:t>莆田市涵江区梧塘镇荔涵东大道1001号</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eastAsia="zh-CN"/>
        </w:rPr>
        <w:t>林先生</w:t>
      </w:r>
    </w:p>
    <w:p>
      <w:pPr>
        <w:snapToGrid w:val="0"/>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电话： </w:t>
      </w:r>
      <w:r>
        <w:rPr>
          <w:rFonts w:hint="eastAsia" w:ascii="宋体" w:hAnsi="宋体" w:eastAsia="宋体" w:cs="宋体"/>
          <w:color w:val="auto"/>
          <w:sz w:val="24"/>
          <w:highlight w:val="none"/>
          <w:lang w:eastAsia="zh-CN"/>
        </w:rPr>
        <w:t>15105932216</w:t>
      </w:r>
      <w:bookmarkStart w:id="2" w:name="_GoBack"/>
      <w:bookmarkEnd w:id="2"/>
    </w:p>
    <w:p>
      <w:pPr>
        <w:pStyle w:val="4"/>
        <w:snapToGrid w:val="0"/>
        <w:spacing w:line="440" w:lineRule="exact"/>
        <w:rPr>
          <w:rFonts w:ascii="宋体" w:hAnsi="宋体" w:eastAsia="宋体" w:cs="宋体"/>
          <w:color w:val="auto"/>
          <w:highlight w:val="none"/>
        </w:rPr>
      </w:pPr>
    </w:p>
    <w:p>
      <w:pPr>
        <w:spacing w:line="440" w:lineRule="exact"/>
        <w:ind w:firstLine="420" w:firstLineChars="17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采购代理机构：</w:t>
      </w:r>
      <w:r>
        <w:rPr>
          <w:rFonts w:hint="eastAsia" w:ascii="宋体" w:hAnsi="宋体" w:eastAsia="宋体" w:cs="宋体"/>
          <w:color w:val="auto"/>
          <w:sz w:val="24"/>
          <w:szCs w:val="24"/>
          <w:highlight w:val="none"/>
          <w:lang w:eastAsia="zh-CN"/>
        </w:rPr>
        <w:t>建融建设管理集团有限责任公司</w:t>
      </w:r>
    </w:p>
    <w:p>
      <w:pPr>
        <w:spacing w:line="440" w:lineRule="exact"/>
        <w:ind w:firstLine="420" w:firstLineChars="17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eastAsia="zh-CN"/>
        </w:rPr>
        <w:t>福建省福州市鼓楼区安泰街道五一北路158号高景商贸中心7层A区</w:t>
      </w:r>
      <w:r>
        <w:rPr>
          <w:rFonts w:hint="eastAsia" w:ascii="宋体" w:hAnsi="宋体" w:eastAsia="宋体" w:cs="宋体"/>
          <w:color w:val="auto"/>
          <w:sz w:val="24"/>
          <w:szCs w:val="24"/>
          <w:highlight w:val="none"/>
        </w:rPr>
        <w:t xml:space="preserve"> </w:t>
      </w:r>
    </w:p>
    <w:p>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张女士、林女士</w:t>
      </w:r>
    </w:p>
    <w:p>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r>
        <w:rPr>
          <w:rFonts w:hint="eastAsia" w:ascii="宋体" w:hAnsi="宋体" w:cs="宋体"/>
          <w:kern w:val="0"/>
          <w:sz w:val="24"/>
        </w:rPr>
        <w:t>0594-</w:t>
      </w:r>
      <w:r>
        <w:rPr>
          <w:rFonts w:hint="eastAsia" w:ascii="宋体" w:hAnsi="宋体" w:cs="宋体"/>
          <w:color w:val="000000"/>
          <w:sz w:val="24"/>
        </w:rPr>
        <w:t>2201060</w:t>
      </w:r>
    </w:p>
    <w:p>
      <w:pPr>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pPr>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附1：采购标的一览表</w:t>
      </w:r>
    </w:p>
    <w:p>
      <w:pPr>
        <w:widowControl/>
        <w:spacing w:before="75" w:after="75"/>
        <w:jc w:val="left"/>
        <w:rPr>
          <w:rFonts w:ascii="宋体" w:hAnsi="宋体" w:eastAsia="宋体" w:cs="宋体"/>
          <w:color w:val="auto"/>
          <w:sz w:val="24"/>
          <w:highlight w:val="none"/>
        </w:rPr>
      </w:pPr>
      <w:r>
        <w:rPr>
          <w:rFonts w:hint="eastAsia" w:ascii="宋体" w:hAnsi="宋体" w:eastAsia="宋体" w:cs="宋体"/>
          <w:color w:val="auto"/>
          <w:sz w:val="24"/>
          <w:highlight w:val="none"/>
        </w:rPr>
        <w:t xml:space="preserve">                                                          金额单位：人民币  元</w:t>
      </w:r>
    </w:p>
    <w:p>
      <w:pPr>
        <w:pStyle w:val="7"/>
        <w:rPr>
          <w:rFonts w:ascii="宋体" w:hAnsi="宋体" w:eastAsia="宋体" w:cs="宋体"/>
          <w:color w:val="auto"/>
          <w:sz w:val="24"/>
          <w:highlight w:val="none"/>
        </w:rPr>
      </w:pPr>
    </w:p>
    <w:tbl>
      <w:tblPr>
        <w:tblStyle w:val="20"/>
        <w:tblW w:w="9801" w:type="dxa"/>
        <w:tblCellSpacing w:w="15"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38"/>
        <w:gridCol w:w="3662"/>
        <w:gridCol w:w="1040"/>
        <w:gridCol w:w="1490"/>
        <w:gridCol w:w="133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10" w:hRule="atLeast"/>
          <w:tblCellSpacing w:w="15" w:type="dxa"/>
        </w:trPr>
        <w:tc>
          <w:tcPr>
            <w:tcW w:w="893"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合同包</w:t>
            </w:r>
          </w:p>
        </w:tc>
        <w:tc>
          <w:tcPr>
            <w:tcW w:w="3632"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货物名称</w:t>
            </w:r>
          </w:p>
        </w:tc>
        <w:tc>
          <w:tcPr>
            <w:tcW w:w="101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数量</w:t>
            </w:r>
          </w:p>
        </w:tc>
        <w:tc>
          <w:tcPr>
            <w:tcW w:w="146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b/>
                <w:color w:val="auto"/>
                <w:kern w:val="0"/>
                <w:highlight w:val="none"/>
              </w:rPr>
              <w:t>合同包预算</w:t>
            </w:r>
          </w:p>
        </w:tc>
        <w:tc>
          <w:tcPr>
            <w:tcW w:w="1305"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b/>
                <w:color w:val="auto"/>
                <w:kern w:val="0"/>
                <w:highlight w:val="none"/>
              </w:rPr>
              <w:t>投标保证金</w:t>
            </w:r>
          </w:p>
        </w:tc>
        <w:tc>
          <w:tcPr>
            <w:tcW w:w="1291" w:type="dxa"/>
            <w:tcMar>
              <w:bottom w:w="0" w:type="dxa"/>
            </w:tcMar>
            <w:vAlign w:val="center"/>
          </w:tcPr>
          <w:p>
            <w:pPr>
              <w:pStyle w:val="13"/>
              <w:widowControl/>
              <w:spacing w:before="75" w:after="75"/>
              <w:jc w:val="center"/>
              <w:rPr>
                <w:rFonts w:ascii="宋体" w:hAnsi="宋体" w:eastAsia="宋体" w:cs="宋体"/>
                <w:b/>
                <w:color w:val="auto"/>
                <w:kern w:val="0"/>
                <w:highlight w:val="none"/>
              </w:rPr>
            </w:pPr>
            <w:r>
              <w:rPr>
                <w:rFonts w:hint="eastAsia" w:ascii="宋体" w:hAnsi="宋体" w:eastAsia="宋体" w:cs="宋体"/>
                <w:b/>
                <w:color w:val="auto"/>
                <w:kern w:val="0"/>
                <w:highlight w:val="none"/>
              </w:rPr>
              <w:t>对应的中小企业划分标准所属行业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10" w:hRule="atLeast"/>
          <w:tblCellSpacing w:w="15" w:type="dxa"/>
        </w:trPr>
        <w:tc>
          <w:tcPr>
            <w:tcW w:w="893"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632" w:type="dxa"/>
            <w:tcMar>
              <w:bottom w:w="0" w:type="dxa"/>
            </w:tcMar>
            <w:vAlign w:val="center"/>
          </w:tcPr>
          <w:p>
            <w:pPr>
              <w:pStyle w:val="13"/>
              <w:widowControl/>
              <w:spacing w:before="75" w:after="75"/>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辅导员工作室广告采购</w:t>
            </w:r>
          </w:p>
        </w:tc>
        <w:tc>
          <w:tcPr>
            <w:tcW w:w="1010" w:type="dxa"/>
            <w:tcMar>
              <w:bottom w:w="0" w:type="dxa"/>
            </w:tcMar>
            <w:vAlign w:val="center"/>
          </w:tcPr>
          <w:p>
            <w:pPr>
              <w:pStyle w:val="13"/>
              <w:widowControl/>
              <w:spacing w:before="75" w:after="75"/>
              <w:jc w:val="center"/>
              <w:rPr>
                <w:rFonts w:ascii="宋体" w:hAnsi="宋体" w:eastAsia="宋体" w:cs="宋体"/>
                <w:color w:val="auto"/>
                <w:highlight w:val="none"/>
              </w:rPr>
            </w:pPr>
            <w:r>
              <w:rPr>
                <w:rFonts w:hint="eastAsia" w:ascii="宋体" w:hAnsi="宋体" w:eastAsia="宋体" w:cs="宋体"/>
                <w:color w:val="auto"/>
                <w:highlight w:val="none"/>
              </w:rPr>
              <w:t>1项</w:t>
            </w:r>
          </w:p>
        </w:tc>
        <w:tc>
          <w:tcPr>
            <w:tcW w:w="1460" w:type="dxa"/>
            <w:tcMar>
              <w:bottom w:w="0" w:type="dxa"/>
            </w:tcMar>
            <w:vAlign w:val="center"/>
          </w:tcPr>
          <w:p>
            <w:pPr>
              <w:pStyle w:val="13"/>
              <w:widowControl/>
              <w:spacing w:before="75" w:after="75"/>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lang w:val="en-US" w:eastAsia="zh-CN"/>
              </w:rPr>
              <w:t>54028.35元</w:t>
            </w:r>
          </w:p>
        </w:tc>
        <w:tc>
          <w:tcPr>
            <w:tcW w:w="1305" w:type="dxa"/>
            <w:tcMar>
              <w:bottom w:w="0" w:type="dxa"/>
            </w:tcMar>
            <w:vAlign w:val="center"/>
          </w:tcPr>
          <w:p>
            <w:pPr>
              <w:pStyle w:val="13"/>
              <w:widowControl/>
              <w:spacing w:before="75" w:after="75"/>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lang w:val="en-US" w:eastAsia="zh-CN"/>
              </w:rPr>
              <w:t>500</w:t>
            </w:r>
            <w:r>
              <w:rPr>
                <w:rFonts w:hint="eastAsia" w:ascii="宋体" w:hAnsi="宋体" w:eastAsia="宋体" w:cs="宋体"/>
                <w:bCs/>
                <w:color w:val="auto"/>
                <w:kern w:val="0"/>
                <w:highlight w:val="none"/>
              </w:rPr>
              <w:t>元</w:t>
            </w:r>
          </w:p>
        </w:tc>
        <w:tc>
          <w:tcPr>
            <w:tcW w:w="1291" w:type="dxa"/>
            <w:tcMar>
              <w:bottom w:w="0" w:type="dxa"/>
            </w:tcMar>
            <w:vAlign w:val="center"/>
          </w:tcPr>
          <w:p>
            <w:pPr>
              <w:pStyle w:val="13"/>
              <w:widowControl/>
              <w:spacing w:before="75" w:after="75"/>
              <w:jc w:val="center"/>
              <w:rPr>
                <w:rFonts w:hint="eastAsia" w:ascii="宋体" w:hAnsi="宋体" w:eastAsia="宋体" w:cs="宋体"/>
                <w:bCs/>
                <w:color w:val="auto"/>
                <w:kern w:val="0"/>
                <w:highlight w:val="none"/>
                <w:lang w:eastAsia="zh-CN"/>
              </w:rPr>
            </w:pPr>
            <w:r>
              <w:rPr>
                <w:rFonts w:hint="eastAsia" w:eastAsia="宋体"/>
                <w:color w:val="auto"/>
                <w:highlight w:val="none"/>
                <w:lang w:eastAsia="zh-CN"/>
              </w:rPr>
              <w:t>其他未列明行业</w:t>
            </w:r>
          </w:p>
        </w:tc>
      </w:tr>
    </w:tbl>
    <w:p>
      <w:pPr>
        <w:rPr>
          <w:rFonts w:ascii="宋体" w:hAnsi="宋体" w:eastAsia="宋体" w:cs="宋体"/>
          <w:color w:val="auto"/>
          <w:highlight w:val="none"/>
        </w:rPr>
      </w:pPr>
    </w:p>
    <w:p>
      <w:pPr>
        <w:spacing w:before="120" w:beforeLines="50" w:line="360" w:lineRule="auto"/>
        <w:ind w:firstLine="354" w:firstLineChars="147"/>
        <w:rPr>
          <w:rFonts w:ascii="宋体" w:hAnsi="宋体" w:eastAsia="宋体" w:cs="宋体"/>
          <w:b/>
          <w:color w:val="auto"/>
          <w:sz w:val="24"/>
          <w:highlight w:val="none"/>
        </w:rPr>
      </w:pPr>
      <w:r>
        <w:rPr>
          <w:rFonts w:hint="eastAsia" w:ascii="宋体" w:hAnsi="宋体" w:eastAsia="宋体" w:cs="宋体"/>
          <w:b/>
          <w:color w:val="auto"/>
          <w:sz w:val="24"/>
          <w:highlight w:val="none"/>
        </w:rPr>
        <w:t>备注：</w:t>
      </w:r>
    </w:p>
    <w:p>
      <w:pPr>
        <w:pStyle w:val="8"/>
        <w:numPr>
          <w:ilvl w:val="0"/>
          <w:numId w:val="2"/>
        </w:numPr>
        <w:tabs>
          <w:tab w:val="left" w:pos="8360"/>
        </w:tabs>
        <w:spacing w:line="360" w:lineRule="auto"/>
        <w:ind w:firstLine="477" w:firstLineChars="199"/>
        <w:jc w:val="left"/>
        <w:rPr>
          <w:rFonts w:hAnsi="宋体" w:eastAsia="宋体" w:cs="宋体"/>
          <w:color w:val="auto"/>
          <w:sz w:val="24"/>
          <w:highlight w:val="none"/>
        </w:rPr>
      </w:pPr>
      <w:r>
        <w:rPr>
          <w:rFonts w:hint="eastAsia" w:hAnsi="宋体" w:eastAsia="宋体" w:cs="宋体"/>
          <w:color w:val="auto"/>
          <w:sz w:val="24"/>
          <w:highlight w:val="none"/>
        </w:rPr>
        <w:t>投标人按合同包投标，对同一合同包内所有品目号内容投标时必须完整。评标与授标以合同包为单位。</w:t>
      </w:r>
    </w:p>
    <w:p>
      <w:pPr>
        <w:numPr>
          <w:ilvl w:val="0"/>
          <w:numId w:val="2"/>
        </w:numPr>
        <w:spacing w:line="360" w:lineRule="auto"/>
        <w:ind w:firstLine="477" w:firstLineChars="199"/>
        <w:rPr>
          <w:rFonts w:ascii="宋体" w:hAnsi="宋体" w:eastAsia="宋体" w:cs="宋体"/>
          <w:color w:val="auto"/>
          <w:sz w:val="24"/>
          <w:highlight w:val="none"/>
        </w:rPr>
      </w:pPr>
      <w:r>
        <w:rPr>
          <w:rFonts w:hint="eastAsia" w:ascii="宋体" w:hAnsi="宋体" w:eastAsia="宋体" w:cs="宋体"/>
          <w:color w:val="auto"/>
          <w:sz w:val="24"/>
          <w:highlight w:val="none"/>
        </w:rPr>
        <w:t>中标人不得转包他人，若发现转包，招标人有权终止合同，并追究相应法律责任。中标人在合同期内未经招标人同意不得擅自中止合同，违反合同的要承担由此给招标人造成的损失。</w:t>
      </w:r>
    </w:p>
    <w:p>
      <w:pPr>
        <w:rPr>
          <w:rFonts w:ascii="宋体" w:hAnsi="宋体" w:eastAsia="宋体" w:cs="宋体"/>
          <w:color w:val="auto"/>
          <w:kern w:val="0"/>
          <w:sz w:val="22"/>
          <w:highlight w:val="none"/>
          <w:shd w:val="clear" w:color="auto" w:fill="FFFFFF"/>
        </w:rPr>
      </w:pPr>
      <w:r>
        <w:rPr>
          <w:rFonts w:hint="eastAsia" w:ascii="宋体" w:hAnsi="宋体" w:eastAsia="宋体" w:cs="宋体"/>
          <w:b/>
          <w:bCs/>
          <w:color w:val="auto"/>
          <w:kern w:val="0"/>
          <w:sz w:val="44"/>
          <w:szCs w:val="44"/>
          <w:highlight w:val="none"/>
        </w:rPr>
        <w:br w:type="page"/>
      </w:r>
    </w:p>
    <w:p>
      <w:pPr>
        <w:snapToGrid w:val="0"/>
        <w:spacing w:line="400" w:lineRule="exact"/>
        <w:ind w:firstLine="241" w:firstLineChars="100"/>
        <w:rPr>
          <w:rFonts w:ascii="宋体" w:hAnsi="宋体" w:eastAsia="宋体" w:cs="宋体"/>
          <w:b/>
          <w:bCs/>
          <w:color w:val="auto"/>
          <w:kern w:val="0"/>
          <w:sz w:val="24"/>
          <w:szCs w:val="24"/>
          <w:highlight w:val="none"/>
          <w:shd w:val="clear" w:color="auto" w:fill="FFFFFF"/>
        </w:rPr>
      </w:pPr>
    </w:p>
    <w:p>
      <w:pPr>
        <w:widowControl/>
        <w:spacing w:before="75" w:after="75"/>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44"/>
          <w:szCs w:val="44"/>
          <w:highlight w:val="none"/>
        </w:rPr>
        <w:t>第二章  竞争性谈判须知</w:t>
      </w:r>
    </w:p>
    <w:p>
      <w:pPr>
        <w:widowControl/>
        <w:spacing w:before="75" w:after="75" w:line="435" w:lineRule="atLeas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2"/>
          <w:szCs w:val="32"/>
          <w:highlight w:val="none"/>
        </w:rPr>
        <w:t>第1节  竞争性谈判须知前附表</w:t>
      </w:r>
    </w:p>
    <w:p>
      <w:pPr>
        <w:widowControl/>
        <w:spacing w:before="75" w:after="75"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竞争性谈判须知前附表是对竞争性谈判须知的补充和细化，二者如有矛盾，以前附表中的要求和规定为准</w:t>
      </w:r>
    </w:p>
    <w:tbl>
      <w:tblPr>
        <w:tblStyle w:val="20"/>
        <w:tblW w:w="9431"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562"/>
        <w:gridCol w:w="889"/>
        <w:gridCol w:w="798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项号</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条款号</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15" w:lineRule="atLeas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编列内容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8816"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pStyle w:val="13"/>
              <w:widowControl/>
              <w:spacing w:line="435" w:lineRule="atLeast"/>
              <w:rPr>
                <w:rFonts w:ascii="宋体" w:hAnsi="宋体" w:eastAsia="宋体" w:cs="宋体"/>
                <w:color w:val="auto"/>
                <w:sz w:val="27"/>
                <w:szCs w:val="27"/>
                <w:highlight w:val="none"/>
              </w:rPr>
            </w:pPr>
            <w:r>
              <w:rPr>
                <w:rStyle w:val="23"/>
                <w:rFonts w:hint="eastAsia" w:ascii="宋体" w:hAnsi="宋体" w:eastAsia="宋体" w:cs="宋体"/>
                <w:color w:val="auto"/>
                <w:highlight w:val="none"/>
              </w:rPr>
              <w:t>供应商的资格要求</w:t>
            </w:r>
            <w:r>
              <w:rPr>
                <w:rFonts w:hint="eastAsia" w:ascii="宋体" w:hAnsi="宋体" w:eastAsia="宋体" w:cs="宋体"/>
                <w:color w:val="auto"/>
                <w:highlight w:val="none"/>
              </w:rPr>
              <w:t>：见谈判文件第一章“采购公告/采购邀请书”</w:t>
            </w:r>
          </w:p>
          <w:p>
            <w:pPr>
              <w:pStyle w:val="13"/>
              <w:widowControl/>
              <w:spacing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rPr>
              <w:t>资格证明文件资料要求：</w:t>
            </w:r>
          </w:p>
          <w:tbl>
            <w:tblPr>
              <w:tblStyle w:val="20"/>
              <w:tblW w:w="7648"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51"/>
              <w:gridCol w:w="5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651"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5997"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a1投标函</w:t>
                  </w:r>
                </w:p>
              </w:tc>
              <w:tc>
                <w:tcPr>
                  <w:tcW w:w="5997" w:type="dxa"/>
                  <w:shd w:val="clear" w:color="auto" w:fill="auto"/>
                  <w:vAlign w:val="center"/>
                </w:tcPr>
                <w:p>
                  <w:pP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a2单位负责人授权书</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a3法人或者其他组织的营业执照等证明文件，自然人的身份证明</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a4财务状况报告</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财务状况报告：投标人须提供上一年度经审计的财务报表（包括资产负债表、利润表、现金流量表、如果所有者权益发生变动的需提供所有者权益变动表及其附注），或投标截止时间前6个月中的任一月的财务报表，或其基本开户银行出具的资信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bidi="ar"/>
                    </w:rPr>
                    <w:t>a5</w:t>
                  </w:r>
                  <w:r>
                    <w:rPr>
                      <w:bCs/>
                      <w:color w:val="auto"/>
                      <w:sz w:val="24"/>
                      <w:szCs w:val="24"/>
                      <w:highlight w:val="none"/>
                    </w:rPr>
                    <w:t>依法缴纳税收的证明材料</w:t>
                  </w:r>
                </w:p>
              </w:tc>
              <w:tc>
                <w:tcPr>
                  <w:tcW w:w="5997" w:type="dxa"/>
                  <w:shd w:val="clear" w:color="auto" w:fill="auto"/>
                </w:tcPr>
                <w:p>
                  <w:pPr>
                    <w:pStyle w:val="39"/>
                    <w:jc w:val="both"/>
                    <w:rPr>
                      <w:rFonts w:hint="default" w:ascii="宋体" w:hAnsi="宋体" w:eastAsia="宋体" w:cs="宋体"/>
                      <w:color w:val="auto"/>
                      <w:sz w:val="24"/>
                      <w:szCs w:val="24"/>
                      <w:highlight w:val="none"/>
                    </w:rPr>
                  </w:pPr>
                  <w:r>
                    <w:rPr>
                      <w:bCs/>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A6具备履行合同所必需的设备和专业技术能力的材料</w:t>
                  </w:r>
                </w:p>
              </w:tc>
              <w:tc>
                <w:tcPr>
                  <w:tcW w:w="5997"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由招标人根据采购需求在第一章“资格要求特定条件”中详细列明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A7参加采购活动前三年内在经营活动中没有重大违法记录的声明</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A8信用记录查询结果</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51"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A9联合体协议（若有）</w:t>
                  </w:r>
                </w:p>
              </w:tc>
              <w:tc>
                <w:tcPr>
                  <w:tcW w:w="5997" w:type="dxa"/>
                  <w:shd w:val="clear" w:color="auto" w:fill="auto"/>
                </w:tcPr>
                <w:p>
                  <w:pPr>
                    <w:pStyle w:val="39"/>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①采购文件接受联合体报价且供应商为联合体的，供应商应提供本协议；否则无须提供。②本协议由委托代理人签字或盖章的，应按照采购文件第五章载明的格式提供“单位负责人授权书”。</w:t>
                  </w:r>
                </w:p>
              </w:tc>
            </w:tr>
          </w:tbl>
          <w:p>
            <w:pPr>
              <w:pStyle w:val="39"/>
              <w:jc w:val="center"/>
              <w:rPr>
                <w:rFonts w:hint="default"/>
                <w:b/>
                <w:color w:val="auto"/>
                <w:highlight w:val="none"/>
              </w:rPr>
            </w:pPr>
          </w:p>
          <w:p>
            <w:pPr>
              <w:pStyle w:val="39"/>
              <w:ind w:firstLine="402" w:firstLineChars="200"/>
              <w:rPr>
                <w:rFonts w:hint="default"/>
                <w:color w:val="auto"/>
                <w:highlight w:val="none"/>
              </w:rPr>
            </w:pPr>
            <w:r>
              <w:rPr>
                <w:b/>
                <w:color w:val="auto"/>
                <w:highlight w:val="none"/>
              </w:rPr>
              <w:t>谈判文件第五章对法定资格条件证明资料已有详细规定和要求，供应商按照第五章要求提供。确因国家政府采购新政策规定或项目特点不能适用的或者需要补充增加的，则在特定资格条件中提出具体要求，但不得违反政府采购法律法规。</w:t>
            </w:r>
          </w:p>
          <w:p>
            <w:pPr>
              <w:pStyle w:val="13"/>
              <w:widowControl/>
              <w:spacing w:line="435" w:lineRule="atLeast"/>
              <w:rPr>
                <w:rFonts w:ascii="宋体" w:hAnsi="宋体" w:eastAsia="宋体" w:cs="宋体"/>
                <w:color w:val="auto"/>
                <w:sz w:val="27"/>
                <w:szCs w:val="27"/>
                <w:highlight w:val="none"/>
              </w:rPr>
            </w:pPr>
            <w:r>
              <w:rPr>
                <w:rFonts w:hint="eastAsia" w:ascii="宋体" w:hAnsi="宋体" w:eastAsia="宋体" w:cs="宋体"/>
                <w:color w:val="auto"/>
                <w:highlight w:val="none"/>
              </w:rPr>
              <w:t>特定资格条件：</w:t>
            </w:r>
          </w:p>
          <w:p>
            <w:pPr>
              <w:pStyle w:val="13"/>
              <w:widowControl/>
              <w:spacing w:line="435" w:lineRule="atLeast"/>
              <w:rPr>
                <w:rFonts w:ascii="宋体" w:hAnsi="宋体" w:eastAsia="宋体" w:cs="宋体"/>
                <w:color w:val="auto"/>
                <w:sz w:val="27"/>
                <w:szCs w:val="27"/>
                <w:highlight w:val="none"/>
              </w:rPr>
            </w:pPr>
            <w:r>
              <w:rPr>
                <w:rStyle w:val="23"/>
                <w:rFonts w:hint="eastAsia" w:ascii="宋体" w:hAnsi="宋体" w:eastAsia="宋体" w:cs="宋体"/>
                <w:color w:val="auto"/>
                <w:highlight w:val="none"/>
                <w:shd w:val="clear" w:color="auto" w:fill="FFFFFF"/>
              </w:rPr>
              <w:t>包：1</w:t>
            </w:r>
          </w:p>
          <w:tbl>
            <w:tblPr>
              <w:tblStyle w:val="20"/>
              <w:tblW w:w="7650"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649"/>
              <w:gridCol w:w="600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649"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明细</w:t>
                  </w:r>
                </w:p>
              </w:tc>
              <w:tc>
                <w:tcPr>
                  <w:tcW w:w="6001" w:type="dxa"/>
                  <w:shd w:val="clear" w:color="auto" w:fill="auto"/>
                  <w:vAlign w:val="center"/>
                </w:tcPr>
                <w:p>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招标文件规定的其他资格证明文件（若有）</w:t>
                  </w:r>
                </w:p>
              </w:tc>
              <w:tc>
                <w:tcPr>
                  <w:tcW w:w="600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1、（强制类节能产品证明材料，若有，应在此处填写）；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具备履行合同所必需设备和专业技术能力专项证明材料（若有）</w:t>
                  </w:r>
                </w:p>
              </w:tc>
              <w:tc>
                <w:tcPr>
                  <w:tcW w:w="6001" w:type="dxa"/>
                  <w:shd w:val="clear" w:color="auto" w:fill="auto"/>
                  <w:vAlign w:val="center"/>
                </w:tcPr>
                <w:p>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649"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本采购包属于专门面向中小企业采购。</w:t>
                  </w:r>
                </w:p>
              </w:tc>
              <w:tc>
                <w:tcPr>
                  <w:tcW w:w="6001" w:type="dxa"/>
                  <w:shd w:val="clear" w:color="auto" w:fill="auto"/>
                </w:tcPr>
                <w:p>
                  <w:pPr>
                    <w:pStyle w:val="39"/>
                    <w:spacing w:line="400" w:lineRule="exact"/>
                    <w:jc w:val="both"/>
                    <w:rPr>
                      <w:rFonts w:hint="default" w:ascii="宋体" w:hAnsi="宋体" w:eastAsia="宋体" w:cs="宋体"/>
                      <w:color w:val="auto"/>
                      <w:sz w:val="24"/>
                      <w:szCs w:val="24"/>
                      <w:highlight w:val="none"/>
                      <w:lang w:eastAsia="zh-CN" w:bidi="ar"/>
                    </w:rPr>
                  </w:pPr>
                  <w:r>
                    <w:rPr>
                      <w:rFonts w:ascii="宋体" w:hAnsi="宋体" w:eastAsia="宋体" w:cs="宋体"/>
                      <w:color w:val="auto"/>
                      <w:sz w:val="24"/>
                      <w:szCs w:val="24"/>
                      <w:highlight w:val="none"/>
                      <w:lang w:eastAsia="zh-CN" w:bidi="ar"/>
                    </w:rPr>
                    <w:t>①本</w:t>
                  </w:r>
                  <w:r>
                    <w:rPr>
                      <w:rFonts w:ascii="宋体" w:hAnsi="宋体" w:eastAsia="宋体" w:cs="宋体"/>
                      <w:color w:val="auto"/>
                      <w:sz w:val="24"/>
                      <w:szCs w:val="24"/>
                      <w:highlight w:val="none"/>
                      <w:shd w:val="clear"/>
                      <w:lang w:eastAsia="zh-CN" w:bidi="ar"/>
                    </w:rPr>
                    <w:t>项目专门面向符合财政部、工信部文件（财库〔2020〕46号）规定的中、小、微企业即服务只能由中、小、微型企业承接。供应商须按照本谈判文件规定的范本提供《中小企业声明函》（工程、服务）。供应商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供应商为监狱企业的，可不提供中小企业声明函（工程、服务），但须提供由省级以上监狱管理局、戒毒管理局（含新疆生产建设兵团）出具的属于监狱企业的证明文件。③残疾人福利性单位视同小型、微型企业，供应商为残疾人福利性单位的，可不提供中小企业声明函（工程、服务），但须提供的《残疾人福利性单位声明函》。④享受扶持政策获得政府采购合同的，小微企业不得将合同分包给大中型企业，中型企业不得将合同分包给大型企业。</w:t>
                  </w:r>
                  <w:r>
                    <w:rPr>
                      <w:rFonts w:ascii="宋体" w:hAnsi="宋体" w:eastAsia="宋体" w:cs="宋体"/>
                      <w:b/>
                      <w:bCs/>
                      <w:color w:val="auto"/>
                      <w:sz w:val="24"/>
                      <w:szCs w:val="24"/>
                      <w:highlight w:val="none"/>
                      <w:shd w:val="clear"/>
                      <w:lang w:eastAsia="zh-CN" w:bidi="ar"/>
                    </w:rPr>
                    <w:t>⑤本项目为</w:t>
                  </w:r>
                  <w:r>
                    <w:rPr>
                      <w:rFonts w:hint="eastAsia" w:ascii="宋体" w:hAnsi="宋体" w:eastAsia="宋体" w:cs="宋体"/>
                      <w:b/>
                      <w:bCs/>
                      <w:color w:val="auto"/>
                      <w:sz w:val="24"/>
                      <w:szCs w:val="24"/>
                      <w:highlight w:val="none"/>
                      <w:shd w:val="clear"/>
                      <w:lang w:eastAsia="zh-CN" w:bidi="ar"/>
                    </w:rPr>
                    <w:t>货物类</w:t>
                  </w:r>
                  <w:r>
                    <w:rPr>
                      <w:rFonts w:ascii="宋体" w:hAnsi="宋体" w:eastAsia="宋体" w:cs="宋体"/>
                      <w:b/>
                      <w:bCs/>
                      <w:color w:val="auto"/>
                      <w:sz w:val="24"/>
                      <w:szCs w:val="24"/>
                      <w:highlight w:val="none"/>
                      <w:shd w:val="clear"/>
                      <w:lang w:eastAsia="zh-CN" w:bidi="ar"/>
                    </w:rPr>
                    <w:t>采购项目，采购标的对应的中小企业划分标准所属行业见竞争性谈判文件第一章“</w:t>
                  </w:r>
                  <w:r>
                    <w:rPr>
                      <w:rFonts w:ascii="宋体" w:hAnsi="宋体" w:eastAsia="宋体" w:cs="宋体"/>
                      <w:b/>
                      <w:bCs/>
                      <w:color w:val="auto"/>
                      <w:sz w:val="24"/>
                      <w:highlight w:val="none"/>
                      <w:shd w:val="clear"/>
                    </w:rPr>
                    <w:t>采购标的一览表</w:t>
                  </w:r>
                  <w:r>
                    <w:rPr>
                      <w:rFonts w:ascii="宋体" w:hAnsi="宋体" w:eastAsia="宋体" w:cs="宋体"/>
                      <w:b/>
                      <w:bCs/>
                      <w:color w:val="auto"/>
                      <w:sz w:val="24"/>
                      <w:szCs w:val="24"/>
                      <w:highlight w:val="none"/>
                      <w:shd w:val="clear"/>
                      <w:lang w:eastAsia="zh-CN" w:bidi="ar"/>
                    </w:rPr>
                    <w:t>”。</w:t>
                  </w:r>
                </w:p>
              </w:tc>
            </w:tr>
          </w:tbl>
          <w:p>
            <w:pPr>
              <w:pStyle w:val="39"/>
              <w:rPr>
                <w:rFonts w:hint="default"/>
                <w:color w:val="auto"/>
                <w:highlight w:val="none"/>
              </w:rPr>
            </w:pPr>
            <w:r>
              <w:rPr>
                <w:b/>
                <w:color w:val="auto"/>
                <w:highlight w:val="none"/>
              </w:rPr>
              <w:t>（3）谈判保证金</w:t>
            </w:r>
          </w:p>
          <w:p>
            <w:pPr>
              <w:pStyle w:val="39"/>
              <w:rPr>
                <w:rFonts w:hint="default"/>
                <w:color w:val="auto"/>
                <w:highlight w:val="none"/>
              </w:rPr>
            </w:pPr>
            <w:r>
              <w:rPr>
                <w:b/>
                <w:color w:val="auto"/>
                <w:highlight w:val="none"/>
              </w:rPr>
              <w:t>※备注说明</w:t>
            </w:r>
          </w:p>
          <w:p>
            <w:pPr>
              <w:pStyle w:val="39"/>
              <w:rPr>
                <w:rFonts w:hint="default"/>
                <w:color w:val="auto"/>
                <w:highlight w:val="none"/>
              </w:rPr>
            </w:pPr>
            <w:r>
              <w:rPr>
                <w:b/>
                <w:color w:val="auto"/>
                <w:highlight w:val="none"/>
              </w:rPr>
              <w:t>①供应商应根据自身实际情况提供上述资格要求的证明材料，格式可参考谈判文件第五章提供。</w:t>
            </w:r>
          </w:p>
          <w:p>
            <w:pPr>
              <w:widowControl/>
              <w:spacing w:line="75" w:lineRule="atLeast"/>
              <w:jc w:val="left"/>
              <w:rPr>
                <w:rFonts w:ascii="宋体" w:hAnsi="宋体" w:eastAsia="宋体" w:cs="宋体"/>
                <w:color w:val="auto"/>
                <w:kern w:val="0"/>
                <w:sz w:val="24"/>
                <w:szCs w:val="24"/>
                <w:highlight w:val="none"/>
              </w:rPr>
            </w:pPr>
            <w:r>
              <w:rPr>
                <w:b/>
                <w:color w:val="auto"/>
                <w:highlight w:val="none"/>
              </w:rPr>
              <w:t>②供应商提供的相应证明材料复印件均应符合：内容完整、清晰、整洁，并由供应商加盖其单位公章。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546"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是否接受联合体形式的响应谈判：</w:t>
            </w:r>
            <w:r>
              <w:rPr>
                <w:rFonts w:hint="eastAsia" w:ascii="宋体" w:hAnsi="宋体" w:eastAsia="宋体" w:cs="宋体"/>
                <w:color w:val="auto"/>
                <w:kern w:val="0"/>
                <w:sz w:val="24"/>
                <w:szCs w:val="24"/>
                <w:highlight w:val="none"/>
              </w:rPr>
              <w:t>不接受</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990"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43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响应文件有效期：</w:t>
            </w:r>
            <w:r>
              <w:rPr>
                <w:rFonts w:hint="eastAsia" w:ascii="宋体" w:hAnsi="宋体" w:eastAsia="宋体" w:cs="宋体"/>
                <w:color w:val="auto"/>
                <w:kern w:val="0"/>
                <w:sz w:val="24"/>
                <w:szCs w:val="24"/>
                <w:highlight w:val="none"/>
              </w:rPr>
              <w:t>首次响应文件提交截止时间起90个日历日。</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提交谈判保证金：</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合同包一投标保证金为人民币</w:t>
            </w:r>
            <w:r>
              <w:rPr>
                <w:rFonts w:hint="eastAsia" w:ascii="宋体" w:hAnsi="宋体" w:eastAsia="宋体" w:cs="宋体"/>
                <w:color w:val="auto"/>
                <w:sz w:val="24"/>
                <w:szCs w:val="24"/>
                <w:highlight w:val="none"/>
                <w:lang w:eastAsia="zh-CN"/>
              </w:rPr>
              <w:t>伍</w:t>
            </w:r>
            <w:r>
              <w:rPr>
                <w:rFonts w:hint="eastAsia" w:ascii="宋体" w:hAnsi="宋体" w:eastAsia="宋体" w:cs="宋体"/>
                <w:color w:val="auto"/>
                <w:sz w:val="24"/>
                <w:szCs w:val="24"/>
                <w:highlight w:val="none"/>
              </w:rPr>
              <w:t>佰元整(¥</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元)</w:t>
            </w:r>
          </w:p>
          <w:p>
            <w:pPr>
              <w:snapToGrid w:val="0"/>
              <w:spacing w:line="400" w:lineRule="exact"/>
              <w:ind w:left="61" w:leftChars="29" w:right="199" w:rightChars="95" w:firstLine="398" w:firstLineChars="166"/>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账户名称：</w:t>
            </w:r>
            <w:r>
              <w:rPr>
                <w:rFonts w:hint="eastAsia" w:ascii="宋体" w:hAnsi="宋体" w:cs="宋体"/>
                <w:bCs/>
                <w:sz w:val="24"/>
              </w:rPr>
              <w:t>建融建设管理集团有限责任公司莆田咨询分公司</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cs="宋体"/>
                <w:bCs/>
                <w:sz w:val="24"/>
              </w:rPr>
              <w:t>中国农业银行莆田市分行</w:t>
            </w:r>
          </w:p>
          <w:p>
            <w:pPr>
              <w:snapToGrid w:val="0"/>
              <w:spacing w:line="400" w:lineRule="exact"/>
              <w:ind w:left="61" w:leftChars="29" w:right="199" w:rightChars="95" w:firstLine="398" w:firstLineChars="166"/>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账户号码：</w:t>
            </w:r>
            <w:r>
              <w:rPr>
                <w:rFonts w:hint="eastAsia" w:ascii="宋体" w:hAnsi="宋体" w:cs="宋体"/>
                <w:bCs/>
                <w:sz w:val="24"/>
              </w:rPr>
              <w:t>13400201040007163</w:t>
            </w:r>
          </w:p>
          <w:p>
            <w:pPr>
              <w:widowControl/>
              <w:spacing w:line="44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以款到账户为准，不接受汇票。供应商在缴纳保证金时必须以公司的账户缴纳，不得以供应商代表个人的名称缴纳。</w:t>
            </w:r>
          </w:p>
          <w:p>
            <w:pPr>
              <w:widowControl/>
              <w:spacing w:line="440" w:lineRule="exact"/>
              <w:jc w:val="left"/>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保证金未按规定时间到账或提交谈判保证金的汇款人名称与投标供应商名称不一致的，其投标将被拒绝。注：谈判保证金转账时请注明所投项目的项目编号及合同包号。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谈判保证金退还的其它要求：</w:t>
            </w:r>
            <w:r>
              <w:rPr>
                <w:rFonts w:hint="eastAsia" w:ascii="宋体" w:hAnsi="宋体" w:eastAsia="宋体" w:cs="宋体"/>
                <w:color w:val="auto"/>
                <w:kern w:val="0"/>
                <w:sz w:val="24"/>
                <w:szCs w:val="24"/>
                <w:highlight w:val="none"/>
              </w:rPr>
              <w:t>无。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响应文件的份数</w:t>
            </w:r>
          </w:p>
          <w:p>
            <w:pPr>
              <w:widowControl/>
              <w:wordWrap w:val="0"/>
              <w:spacing w:line="43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（1）纸质响应文件 </w:t>
            </w:r>
          </w:p>
          <w:p>
            <w:pPr>
              <w:widowControl/>
              <w:wordWrap w:val="0"/>
              <w:spacing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①响应文件正本</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份、副本</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份。</w:t>
            </w:r>
          </w:p>
          <w:p>
            <w:pPr>
              <w:widowControl/>
              <w:wordWrap w:val="0"/>
              <w:spacing w:line="435" w:lineRule="atLeas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②可读介质（光盘或U盘）</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份。</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14.4</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spacing w:line="435" w:lineRule="atLeas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谈判过程中可能发生实质性变动的内容：</w:t>
            </w:r>
          </w:p>
          <w:p>
            <w:pPr>
              <w:widowControl/>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无。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22.2</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tcPr>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信息公告指定媒体（以下简称：“指定媒体”）：</w:t>
            </w:r>
          </w:p>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（1）中国政府采购网</w:t>
            </w:r>
          </w:p>
          <w:p>
            <w:pPr>
              <w:widowControl/>
              <w:wordWrap w:val="0"/>
              <w:spacing w:line="435" w:lineRule="atLeas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（2）中国采购与招标网</w:t>
            </w:r>
          </w:p>
          <w:p>
            <w:pPr>
              <w:widowControl/>
              <w:wordWrap w:val="0"/>
              <w:spacing w:line="435" w:lineRule="atLeast"/>
              <w:jc w:val="left"/>
              <w:rPr>
                <w:rFonts w:hint="eastAsia" w:eastAsia="宋体"/>
                <w:lang w:val="en-US" w:eastAsia="zh-CN"/>
              </w:rPr>
            </w:pPr>
            <w:r>
              <w:rPr>
                <w:rFonts w:hint="eastAsia" w:ascii="宋体" w:hAnsi="宋体" w:eastAsia="宋体" w:cs="宋体"/>
                <w:color w:val="auto"/>
                <w:kern w:val="0"/>
                <w:sz w:val="24"/>
                <w:szCs w:val="24"/>
                <w:highlight w:val="none"/>
                <w:lang w:val="en-US" w:eastAsia="zh-CN"/>
              </w:rPr>
              <w:t>（3）湄洲湾职业技术学院网</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862"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23.1</w:t>
            </w: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440" w:lineRule="exact"/>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本项目监督管理部门：</w:t>
            </w:r>
            <w:r>
              <w:rPr>
                <w:rFonts w:hint="eastAsia" w:ascii="宋体" w:hAnsi="宋体" w:eastAsia="宋体" w:cs="宋体"/>
                <w:b/>
                <w:bCs/>
                <w:color w:val="auto"/>
                <w:kern w:val="0"/>
                <w:sz w:val="24"/>
                <w:szCs w:val="24"/>
                <w:highlight w:val="none"/>
                <w:lang w:eastAsia="zh-CN"/>
              </w:rPr>
              <w:t>湄洲湾职业技术学院</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7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7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7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24.1</w:t>
            </w:r>
          </w:p>
        </w:tc>
        <w:tc>
          <w:tcPr>
            <w:tcW w:w="7935"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wordWrap w:val="0"/>
              <w:spacing w:line="440" w:lineRule="exact"/>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rPr>
              <w:t>履约保证金：</w:t>
            </w:r>
            <w:r>
              <w:rPr>
                <w:rFonts w:hint="eastAsia" w:ascii="宋体" w:hAnsi="宋体" w:eastAsia="宋体" w:cs="宋体"/>
                <w:b/>
                <w:bCs/>
                <w:color w:val="auto"/>
                <w:kern w:val="0"/>
                <w:sz w:val="24"/>
                <w:szCs w:val="24"/>
                <w:highlight w:val="none"/>
                <w:lang w:eastAsia="zh-CN"/>
              </w:rPr>
              <w:t>无</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10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105" w:lineRule="atLeas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25</w:t>
            </w:r>
          </w:p>
        </w:tc>
        <w:tc>
          <w:tcPr>
            <w:tcW w:w="7935"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wordWrap w:val="0"/>
              <w:spacing w:line="440" w:lineRule="exact"/>
              <w:jc w:val="lef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根据采购项目特点或政策需要补充的其他新增内容</w:t>
            </w:r>
          </w:p>
          <w:p>
            <w:pPr>
              <w:widowControl/>
              <w:wordWrap w:val="0"/>
              <w:spacing w:line="440" w:lineRule="exact"/>
              <w:ind w:firstLine="240" w:firstLineChars="100"/>
              <w:jc w:val="left"/>
              <w:rPr>
                <w:rFonts w:ascii="宋体" w:hAnsi="宋体" w:eastAsia="宋体" w:cs="宋体"/>
                <w:color w:val="auto"/>
                <w:kern w:val="0"/>
                <w:sz w:val="24"/>
                <w:szCs w:val="24"/>
                <w:highlight w:val="none"/>
              </w:rPr>
            </w:pPr>
            <w:r>
              <w:rPr>
                <w:rFonts w:hint="eastAsia" w:ascii="宋体" w:hAnsi="宋体" w:cs="宋体"/>
                <w:sz w:val="24"/>
                <w:shd w:val="clear" w:color="auto" w:fill="FFFFFF"/>
              </w:rPr>
              <w:t>招标服务费由中标人</w:t>
            </w:r>
            <w:r>
              <w:rPr>
                <w:rFonts w:hint="eastAsia" w:ascii="宋体" w:hAnsi="宋体" w:cs="宋体"/>
                <w:sz w:val="24"/>
                <w:shd w:val="clear" w:color="auto" w:fill="FFFFFF"/>
                <w:lang w:val="en-US" w:eastAsia="zh-CN"/>
              </w:rPr>
              <w:t>按合同包进行</w:t>
            </w:r>
            <w:r>
              <w:rPr>
                <w:rFonts w:hint="eastAsia" w:ascii="宋体" w:hAnsi="宋体" w:cs="宋体"/>
                <w:sz w:val="24"/>
                <w:shd w:val="clear" w:color="auto" w:fill="FFFFFF"/>
              </w:rPr>
              <w:t>支付，</w:t>
            </w:r>
            <w:r>
              <w:rPr>
                <w:rFonts w:hint="eastAsia" w:ascii="宋体" w:hAnsi="宋体" w:cs="宋体"/>
                <w:sz w:val="24"/>
                <w:shd w:val="clear" w:color="auto" w:fill="FFFFFF"/>
                <w:lang w:val="en-US" w:eastAsia="zh-CN"/>
              </w:rPr>
              <w:t>本项目</w:t>
            </w:r>
            <w:r>
              <w:rPr>
                <w:rFonts w:hint="eastAsia" w:ascii="宋体" w:hAnsi="宋体" w:cs="宋体"/>
                <w:sz w:val="24"/>
                <w:shd w:val="clear" w:color="auto" w:fill="FFFFFF"/>
              </w:rPr>
              <w:t>按2000元包干。中标人应在领取中标通知书前以转账或现金方式一次性缴清； 代理服务费账号：开户名—建融建设管理集团有限责任公司莆田咨询分公司，开户行—中国农业银行莆田市分行，帐号—13400201040007163。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105" w:hRule="atLeast"/>
          <w:tblCellSpacing w:w="15" w:type="dxa"/>
        </w:trPr>
        <w:tc>
          <w:tcPr>
            <w:tcW w:w="517"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spacing w:line="105" w:lineRule="atLeas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859"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widowControl/>
              <w:wordWrap w:val="0"/>
              <w:spacing w:line="105" w:lineRule="atLeast"/>
              <w:jc w:val="left"/>
              <w:rPr>
                <w:rFonts w:ascii="宋体" w:hAnsi="宋体" w:eastAsia="宋体" w:cs="宋体"/>
                <w:color w:val="auto"/>
                <w:kern w:val="0"/>
                <w:sz w:val="24"/>
                <w:szCs w:val="24"/>
                <w:highlight w:val="none"/>
              </w:rPr>
            </w:pPr>
          </w:p>
        </w:tc>
        <w:tc>
          <w:tcPr>
            <w:tcW w:w="7935"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pPr>
              <w:spacing w:line="46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评定成交的标准和方法：</w:t>
            </w:r>
          </w:p>
          <w:p>
            <w:pPr>
              <w:spacing w:line="460" w:lineRule="exact"/>
              <w:ind w:firstLine="475" w:firstLineChars="197"/>
              <w:rPr>
                <w:rFonts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谈判小组采用最低评审价法对提交最后报价的合格供应商的响应文件和最后报价进行评审，并推荐成交候选人。</w:t>
            </w:r>
          </w:p>
          <w:p>
            <w:pPr>
              <w:spacing w:line="46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分为两轮。第一轮报价为响应文件，第二轮为响应人现场报价，第二轮报价不能高于第一轮报价。如响应人放弃第二轮报价，则以该响应人第一轮报价作为最终报价。响应人无提供第一轮报价的作为无效投标。即在全部满足谈判文件实质性要求前提下，依据统一的价格要素评定最低报价，以提出最低报价的供应商作为成交候选人。价格相等的情况下，则评标委员会通过现场随机抽取的方式确定成交供应商。</w:t>
            </w:r>
          </w:p>
          <w:p>
            <w:pPr>
              <w:widowControl/>
              <w:wordWrap w:val="0"/>
              <w:spacing w:line="440" w:lineRule="exact"/>
              <w:jc w:val="lef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注：供应商须带多份空白报价函加盖单位公章以备现场二次报价。</w:t>
            </w:r>
          </w:p>
          <w:p>
            <w:pPr>
              <w:pStyle w:val="13"/>
              <w:widowControl/>
              <w:shd w:val="clear" w:color="auto" w:fill="FFFFFF"/>
              <w:spacing w:line="380" w:lineRule="exact"/>
              <w:ind w:firstLine="480"/>
              <w:rPr>
                <w:rFonts w:ascii="宋体" w:hAnsi="宋体" w:eastAsia="宋体" w:cs="宋体"/>
                <w:b/>
                <w:color w:val="auto"/>
                <w:highlight w:val="none"/>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Ex>
        <w:trPr>
          <w:trHeight w:val="609" w:hRule="atLeast"/>
          <w:tblCellSpacing w:w="15" w:type="dxa"/>
        </w:trPr>
        <w:tc>
          <w:tcPr>
            <w:tcW w:w="517"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859"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p>
        </w:tc>
        <w:tc>
          <w:tcPr>
            <w:tcW w:w="7935" w:type="dxa"/>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是否组织现场考察或召开开标前答疑会：否</w:t>
            </w:r>
            <w:r>
              <w:rPr>
                <w:rFonts w:hint="eastAsia" w:ascii="宋体" w:hAnsi="宋体" w:eastAsia="宋体" w:cs="宋体"/>
                <w:color w:val="auto"/>
                <w:kern w:val="0"/>
                <w:sz w:val="24"/>
                <w:szCs w:val="24"/>
                <w:highlight w:val="none"/>
              </w:rPr>
              <w:t>。</w:t>
            </w:r>
          </w:p>
        </w:tc>
      </w:tr>
    </w:tbl>
    <w:p>
      <w:pPr>
        <w:widowControl/>
        <w:spacing w:before="75" w:after="75" w:line="435" w:lineRule="atLeas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一、谈判小组</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1.1采购人根据项目的特点依法组建谈判小组。</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1.2谈判小组由采购人代表和评审专家两部分（以下简称“评委”）共</w:t>
      </w:r>
      <w:r>
        <w:rPr>
          <w:rFonts w:hint="eastAsia" w:ascii="宋体" w:hAnsi="宋体" w:eastAsia="宋体" w:cs="宋体"/>
          <w:color w:val="auto"/>
          <w:kern w:val="0"/>
          <w:sz w:val="24"/>
          <w:szCs w:val="24"/>
          <w:highlight w:val="none"/>
          <w:u w:val="single"/>
        </w:rPr>
        <w:t>3</w:t>
      </w:r>
      <w:r>
        <w:rPr>
          <w:rFonts w:hint="eastAsia" w:ascii="宋体" w:hAnsi="宋体" w:eastAsia="宋体" w:cs="宋体"/>
          <w:color w:val="auto"/>
          <w:kern w:val="0"/>
          <w:sz w:val="24"/>
          <w:szCs w:val="24"/>
          <w:highlight w:val="none"/>
        </w:rPr>
        <w:t>人组成，其中：采购人代表</w:t>
      </w:r>
      <w:r>
        <w:rPr>
          <w:rFonts w:hint="eastAsia" w:ascii="宋体" w:hAnsi="宋体" w:eastAsia="宋体" w:cs="宋体"/>
          <w:color w:val="auto"/>
          <w:kern w:val="0"/>
          <w:sz w:val="24"/>
          <w:szCs w:val="24"/>
          <w:highlight w:val="none"/>
          <w:u w:val="single"/>
        </w:rPr>
        <w:t>1</w:t>
      </w:r>
      <w:r>
        <w:rPr>
          <w:rFonts w:hint="eastAsia" w:ascii="宋体" w:hAnsi="宋体" w:eastAsia="宋体" w:cs="宋体"/>
          <w:color w:val="auto"/>
          <w:kern w:val="0"/>
          <w:sz w:val="24"/>
          <w:szCs w:val="24"/>
          <w:highlight w:val="none"/>
        </w:rPr>
        <w:t>人由采购人派出，评审专家</w:t>
      </w:r>
      <w:r>
        <w:rPr>
          <w:rFonts w:hint="eastAsia" w:ascii="宋体" w:hAnsi="宋体" w:eastAsia="宋体" w:cs="宋体"/>
          <w:color w:val="auto"/>
          <w:kern w:val="0"/>
          <w:sz w:val="24"/>
          <w:szCs w:val="24"/>
          <w:highlight w:val="none"/>
          <w:u w:val="single"/>
        </w:rPr>
        <w:t>2</w:t>
      </w:r>
      <w:r>
        <w:rPr>
          <w:rFonts w:hint="eastAsia" w:ascii="宋体" w:hAnsi="宋体" w:eastAsia="宋体" w:cs="宋体"/>
          <w:color w:val="auto"/>
          <w:kern w:val="0"/>
          <w:sz w:val="24"/>
          <w:szCs w:val="24"/>
          <w:highlight w:val="none"/>
        </w:rPr>
        <w:t>人由福建省政府采购评审专家库产生。达到公开招标数额标准的货物或者服务采购项目，或者达到招标规模标准的政府采购工程，竞争性谈判小组应当由5人或以上单数组成。</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1.3谈判小组负责具体谈判和评审事务，并按照下列原则依法独立履行有关职责：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1.3.1评审应保护国家利益、社会公共利益和各方当事人合法权益，提高采购效益，保证项目质量。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1.3.2评审应遵循公平、公正、科学、严谨和择优原则。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1.3.3评审的依据是谈判文件和响应文件，谈判文件中没有规定的评审标准不得作为评审依据。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1.3.4谈判小组应按照谈判文件规定推荐成交候选供应商或根据采购人的授权确定成交供应商。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1.3.5评审应遵守下列评审纪律：</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①评审情况不得私自外泄，有关信息由采购人或其委托的代理机构统一对外发布。</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②对采购人或供应商提供的要求保密的资料，不得摘记翻印和外传。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③不得收受供应商或有关人员的任何礼物，不得串联鼓动其他人袒护某供应商。若与供应商存在利害关系，则应主动声明并回避。</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④全体谈判小组成员应按照谈判文件规定进行评审，一切认定事项应查有实据且不得弄虚作假。</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⑤评审中应充分发扬民主，推荐成交供应商候选人或根据采购人授权确定成交供应商后要服从评审报告。</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※对违反评审纪律的评委，将取消其评委资格，对评审工作造成严重损失者将予以通报批评乃至追究法律责任。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w:t>
      </w:r>
      <w:r>
        <w:rPr>
          <w:rFonts w:hint="eastAsia" w:ascii="宋体" w:hAnsi="宋体" w:eastAsia="宋体" w:cs="宋体"/>
          <w:b/>
          <w:bCs/>
          <w:color w:val="auto"/>
          <w:kern w:val="0"/>
          <w:sz w:val="24"/>
          <w:szCs w:val="24"/>
          <w:highlight w:val="none"/>
        </w:rPr>
        <w:t>谈判程序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2.1谈判程序按照谈判文件第二章第2节“竞争性谈判须知”第14条“谈判程序以及评定成交的标准”的相关条款规定执行。</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当投标截止时间结束后参加投标的响应人只有两家的，根据《政府采购非招标采购方式管理办法》[财政部令第74号]第二十七条规定并已得到政府采购监管部门的批准，现场继续谈判。当参加投标的响应人只有一家的，竞争性谈判终止。</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2.3只有资格审查和实质性响应审查均合格且按规定提交最后报价的合格供应商才能参加评定成交的最后价格排序和成交候选人推荐。</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三、最低评审价法和成交候选人推荐</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3.1谈判小组将采用最低评审价法对提交最后报价的合格供应商的响应文件和最后报价进行评审，并推荐成交候选人。如果谈判项目有多个合同包，则按相应合同包分别进行，具体评审的标准和方法如下：</w:t>
      </w:r>
    </w:p>
    <w:p>
      <w:pPr>
        <w:widowControl/>
        <w:spacing w:line="400" w:lineRule="exact"/>
        <w:ind w:firstLine="46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3.1.1根据财政部及福建省财政厅等有关政府采购文件规定执行价格评审优惠政策，价格扣除规则如下：</w:t>
      </w:r>
    </w:p>
    <w:p>
      <w:pPr>
        <w:pStyle w:val="39"/>
        <w:spacing w:line="400" w:lineRule="exact"/>
        <w:rPr>
          <w:rFonts w:hint="default"/>
          <w:color w:val="auto"/>
          <w:highlight w:val="none"/>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采购包1：最低评标价法</w:t>
      </w: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谈判文件满足谈判文件全部实质性要求，且响应报价最低的投标人为成交候选供应商。</w:t>
      </w: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价格扣除的规则如下：</w:t>
      </w:r>
    </w:p>
    <w:p>
      <w:pPr>
        <w:pStyle w:val="39"/>
        <w:spacing w:line="400" w:lineRule="exact"/>
        <w:rPr>
          <w:rFonts w:hint="default" w:ascii="宋体" w:hAnsi="宋体" w:eastAsia="宋体" w:cs="宋体"/>
          <w:color w:val="auto"/>
          <w:sz w:val="24"/>
          <w:szCs w:val="24"/>
          <w:highlight w:val="none"/>
          <w:lang w:eastAsia="zh-CN"/>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小型、微型企业产品：  无</w:t>
      </w:r>
    </w:p>
    <w:p>
      <w:pPr>
        <w:pStyle w:val="39"/>
        <w:spacing w:line="400" w:lineRule="exact"/>
        <w:rPr>
          <w:rFonts w:hint="default"/>
          <w:b/>
          <w:color w:val="auto"/>
          <w:highlight w:val="none"/>
        </w:rPr>
      </w:pPr>
    </w:p>
    <w:p>
      <w:pPr>
        <w:pStyle w:val="39"/>
        <w:spacing w:line="400" w:lineRule="exact"/>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优先类节能产品、环境标志产品</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70"/>
        <w:gridCol w:w="790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770" w:type="dxa"/>
          </w:tcPr>
          <w:p>
            <w:pPr>
              <w:pStyle w:val="39"/>
              <w:spacing w:line="400" w:lineRule="exact"/>
              <w:jc w:val="center"/>
              <w:rPr>
                <w:rFonts w:hint="default"/>
                <w:b/>
                <w:color w:val="auto"/>
                <w:highlight w:val="none"/>
              </w:rPr>
            </w:pPr>
            <w:r>
              <w:rPr>
                <w:b/>
                <w:color w:val="auto"/>
                <w:highlight w:val="none"/>
              </w:rPr>
              <w:t>项目</w:t>
            </w:r>
          </w:p>
        </w:tc>
        <w:tc>
          <w:tcPr>
            <w:tcW w:w="7904" w:type="dxa"/>
          </w:tcPr>
          <w:p>
            <w:pPr>
              <w:pStyle w:val="39"/>
              <w:spacing w:line="400" w:lineRule="exact"/>
              <w:jc w:val="center"/>
              <w:rPr>
                <w:rFonts w:hint="default"/>
                <w:b/>
                <w:color w:val="auto"/>
                <w:highlight w:val="none"/>
              </w:rPr>
            </w:pPr>
            <w:r>
              <w:rPr>
                <w:b/>
                <w:color w:val="auto"/>
                <w:highlight w:val="none"/>
              </w:rPr>
              <w:t>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770" w:type="dxa"/>
          </w:tcPr>
          <w:p>
            <w:pPr>
              <w:pStyle w:val="39"/>
              <w:rPr>
                <w:rFonts w:hint="default" w:ascii="宋体" w:hAnsi="宋体" w:eastAsia="宋体" w:cs="宋体"/>
                <w:bCs/>
                <w:color w:val="auto"/>
                <w:sz w:val="24"/>
                <w:szCs w:val="24"/>
                <w:highlight w:val="none"/>
                <w:lang w:eastAsia="zh-CN"/>
              </w:rPr>
            </w:pPr>
            <w:r>
              <w:rPr>
                <w:bCs/>
                <w:color w:val="auto"/>
                <w:sz w:val="24"/>
                <w:szCs w:val="24"/>
                <w:highlight w:val="none"/>
              </w:rPr>
              <w:t>节能、环境标志产品</w:t>
            </w:r>
          </w:p>
        </w:tc>
        <w:tc>
          <w:tcPr>
            <w:tcW w:w="7904" w:type="dxa"/>
          </w:tcPr>
          <w:p>
            <w:pPr>
              <w:pStyle w:val="39"/>
              <w:rPr>
                <w:rFonts w:hint="default" w:ascii="宋体" w:hAnsi="宋体" w:eastAsia="宋体" w:cs="宋体"/>
                <w:bCs/>
                <w:color w:val="auto"/>
                <w:sz w:val="24"/>
                <w:szCs w:val="24"/>
                <w:highlight w:val="none"/>
                <w:lang w:eastAsia="zh-CN"/>
              </w:rPr>
            </w:pPr>
            <w:r>
              <w:rPr>
                <w:bCs/>
                <w:color w:val="auto"/>
                <w:sz w:val="24"/>
                <w:szCs w:val="24"/>
                <w:highlight w:val="none"/>
                <w:shd w:val="clear"/>
              </w:rPr>
              <w:t>1、根据财政部 发展改革委 生态环境部 市场监管总局印发《关于调整优化节能产品、环境标志产品政府采购执行机制的通知》(财库〔2019〕9号)的规定。依据国家确定的认证机构出具的、处于有效期之内的节能产品、环境标志产品认证证书，对获得证书的产品实施政府优先采购或强制采购。2、节能产品政府采购品目清单中台式计算机，便携式计算机，平板式微型计算机，激光打印机，针式打印机，液晶显示器，制冷压缩机，空调机组，专用制冷、空调设备，镇流器，空调机，电热水器，普通照明用双端荧光灯，电视设备，视频设备，便器，水嘴等品目为政府强制采购的节能产品（若节能产品政府采购品目清单有相应变更，以变更的为准），本次采购货物中如属政府强制采购节能产品的，供应商须提供国家确定的认证机构出具的、处于有效期之内的节能产品认证证书复印件，否则视为投标无效；</w:t>
            </w:r>
            <w:r>
              <w:rPr>
                <w:bCs/>
                <w:color w:val="auto"/>
                <w:sz w:val="24"/>
                <w:szCs w:val="24"/>
                <w:highlight w:val="none"/>
              </w:rPr>
              <w:t>3、节能、减排、环境标志产品评审优惠内容及幅度（属于国家强制节能的产品本项不再予以优惠）： 同一合同包内的节能、减排、环境标志产品报价总金额占本合同包报价总金额10%（含10%）以下，给予每个单项报价3%的价格扣除；占本合同包报价总金额10%-30%（含30%），给予每个单项报价6%的价格扣除；占本合同包报价总金额30%-50%（含50%），给予每个单项报价8%的价格扣除；占本合同包报价总金额50%以上，给予每个单项报价10%的价格扣除。4、供应商在投标时必须对属于节能、环境标志产品单独在节能(非强制类产品)、环境标志产品统计表中填写，并提供产品的证明资料（国家确定的认证机构出具的、处于有效期之内的节能产品、环境标志产品认证证书复印件）附在报价部分(电子证明资料应上传在对应评分模块)且加盖供应商公章。未单独分项报价或未按规定提供产品的证明资料的不给予价格扣除。若节能、环境标志产品仅是构成投标产品的部件、组件或零件的，则该投标产品不享受鼓励优惠政策。谈判小组审查此项响应性只根据响应文件本身的内容，而不寻求其他的外部证据。</w:t>
            </w:r>
          </w:p>
        </w:tc>
      </w:tr>
    </w:tbl>
    <w:p>
      <w:pPr>
        <w:pStyle w:val="39"/>
        <w:spacing w:line="400" w:lineRule="exact"/>
        <w:ind w:firstLine="480" w:firstLineChars="200"/>
        <w:rPr>
          <w:rFonts w:hint="default" w:ascii="宋体" w:hAnsi="宋体" w:eastAsia="宋体" w:cs="宋体"/>
          <w:color w:val="auto"/>
          <w:sz w:val="24"/>
          <w:szCs w:val="24"/>
          <w:highlight w:val="none"/>
          <w:lang w:eastAsia="zh-CN"/>
        </w:rPr>
      </w:pP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其他：无</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※除本章第6.3条第（3）款规定情形和落实政府采购政策需进行的价格扣除情形外，不能对供应商的投标报价进行任何调整。</w:t>
      </w:r>
    </w:p>
    <w:p>
      <w:pPr>
        <w:pStyle w:val="39"/>
        <w:spacing w:line="400" w:lineRule="exact"/>
        <w:ind w:firstLine="240" w:firstLineChars="1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（3）成交候选供应商排列规则顺序如下：</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a.按照评审价（即价格扣除后的响应报价）由低到高顺序排列。</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b.评审价相同的并列。</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c.其他：</w:t>
      </w:r>
    </w:p>
    <w:p>
      <w:pPr>
        <w:pStyle w:val="39"/>
        <w:ind w:firstLine="482" w:firstLineChars="200"/>
        <w:jc w:val="both"/>
        <w:rPr>
          <w:rFonts w:hint="default" w:ascii="宋体" w:hAnsi="宋体" w:eastAsia="宋体" w:cs="宋体"/>
          <w:color w:val="auto"/>
          <w:sz w:val="24"/>
          <w:szCs w:val="24"/>
          <w:highlight w:val="none"/>
          <w:lang w:eastAsia="zh-CN"/>
        </w:rPr>
      </w:pPr>
      <w:r>
        <w:rPr>
          <w:b/>
          <w:color w:val="auto"/>
          <w:sz w:val="24"/>
          <w:szCs w:val="24"/>
          <w:highlight w:val="none"/>
        </w:rPr>
        <w:t>(1)响应文件中报价一览表内容与响应文件中相应内容不一致的，以报价一览表为准； (2)大写金额和小写金额不一致的，以大写金额为准； (3)单价金额小数点或者百分比有明显错位的，以报价一览表的总价为准，并修改单价； (4)总价金额与按单价汇总金额不一致的，以单价金额计算结果为准。 同时出现两种以上不一致的，按照前款规定的顺序修正。修正后的报价按照本须知前附表第14.3条的规定经供 应商确认后产生约束力，供 应商不确认的，其响应无效。 F、最后报价：谈判小组对首次响应文件中资格证明文件以及其他响应文件进行审查，资格审查和实质性响应审查合格的供应商均有再次报价机会，并就以下谈判程序与谈判小组进行谈判。谈判程序如下：①竞争性谈判以《递交响应文件签到表》的先后顺序确定谈判顺序，由招标代理机构根据规定组织的谈判小组分别与各供应商进行谈判。 ②在谈判过程中谈判的任何一方不得向他人透露与谈判有关的技术资料、价格或其他信息。 ③初始谈判后，如谈判文件有实质性变动的，谈判小组须以书面形式通知所有参加谈判的供应商。所有供应商根据竞争性谈判采购文件或其补充文件在规定的时间里提出有关书面建议及作出相关的书面承诺，并报出最佳服务和最终报价。 ④所有供应商在谈判时作出的所有书面承诺须由供应商法人授权代表签字并加盖手印。 ⑤谈判结束后，供应商在约定的时间内进行最终报价。超出约定时间没有进行最终报价的供应商，视为退出谈判程序。（说明：即使供应商再一次报价与首次报价相同，也需要进行报价的填写）⑥若谈判小组认为，排在前面的成交候选人的最低报价或者某些分项报价明显不合理或低于成本，有可能影响商品质量和不能诚信履约的，可要求供应商在规定时间内进行澄清。3.1.2合格供应商提交的最后报价按照上文3.1.1款规定的价格扣除规则计算后，得出的价格称为最后报价评审价。</w:t>
      </w:r>
    </w:p>
    <w:p>
      <w:pPr>
        <w:pStyle w:val="39"/>
        <w:spacing w:line="400" w:lineRule="exact"/>
        <w:ind w:firstLine="480" w:firstLineChars="2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3.1.2合格供应商提交的最后报价按照上文3.1.1款规定的价格扣除规则计算后，得出的价格称为最后报价评审价。</w:t>
      </w:r>
    </w:p>
    <w:p>
      <w:pPr>
        <w:pStyle w:val="39"/>
        <w:spacing w:line="400" w:lineRule="exact"/>
        <w:ind w:firstLine="480" w:firstLineChars="20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（1）谈判文件可以约定出现并列最低评审价情形时的优先顺序规则，具体规则为：[招标文件长文本框]</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（2）谈判文件未约定优先顺序规则时，则由谈判小组中的采购人代表从并列最低评审价名单中自行选择确定优先顺序</w:t>
      </w:r>
    </w:p>
    <w:p>
      <w:pPr>
        <w:pStyle w:val="39"/>
        <w:spacing w:line="400" w:lineRule="exact"/>
        <w:ind w:firstLine="240" w:firstLineChars="100"/>
        <w:jc w:val="both"/>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（3）采购人代表放弃自行选择确定权利的，则通过随机抽取方式确定优先顺序。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c.其他：无。</w:t>
      </w:r>
    </w:p>
    <w:p>
      <w:pPr>
        <w:widowControl/>
        <w:spacing w:line="400" w:lineRule="exact"/>
        <w:ind w:firstLine="465"/>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3.1.2合格供应商提交的最后报价按照上文3.1.1款规定的价格扣除规则计算后，得出的价格称为最后报价评审价。</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（1）谈判文件可以约定出现并列最低评审价情形时的优先顺序规则，具体规则为：无。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（2）谈判文件未约定优先顺序规则时，则由谈判小组中的采购人代表从并列最低评审价名单中自行选择确定优先顺序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（3）采购人代表放弃自行选择确定权利的，则通过随机抽取方式确定优先顺序。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四、评审报告</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4.1谈判小组完成评审后，应当编写评审报告并提交给采购人。</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4.2评审报告应当包括以下主要内容：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（一）邀请供应商参加采购活动的具体方式和相关情况，以及参加采购活动的供应商名单；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（二）评审日期和地点，谈判小组成员名单；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（三）评审情况记录和说明，包括对供应商的资格审查情况、供应商响应文件评审情况、谈判情况、报价情况等；</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（四）提出的成交候选人的名单及理由。</w:t>
      </w:r>
    </w:p>
    <w:p>
      <w:pPr>
        <w:widowControl/>
        <w:spacing w:line="400" w:lineRule="exact"/>
        <w:ind w:firstLine="24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五、其他规定</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5.1其他规定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5.1.1评审应全程保密且不得透露给任一供应商或与评审工作无关的人员。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5.1.2评审将进行全程实时录音录像，录音录像资料随采购文件一并存档。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5.1.3若供应商有任何试图干扰具体评审事务，影响谈判小组独立履行职责的行为，其响应无效且不予退还谈判保证金。情节严重的，由财政部门列入不良行为记录。</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5.1.4根据采购项目的特点和需要，需要加以详细说明的其他谈判程序规定、要求等内容：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无。</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0"/>
          <w:szCs w:val="30"/>
          <w:highlight w:val="none"/>
        </w:rPr>
        <w:t>第2节  竞争性谈判须知</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一、总则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1.适用范围：</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1.1适用于谈判文件载明项目的采购活动（以下简称：“本次采购活动”）。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2.定义及要求：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2.1“采购标的”指谈判文件载明的需要采购的货物、服务、工程。</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2.2“采购人”指本次采购项目的买方、或业主方、或甲方，具体见谈判文件第一章；“采购代理机构”系指接受采购人委托，组织开展竞争性谈判采购活动的代理机构，具体见谈判文件第一章。</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2.3“潜在供应商”按照谈判文件第一章规定进行报名，且有意向参加本项目响应谈判的供应商。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2.4“供应商”指按照谈判文件第一章规定进行报名，且已经提交响应文件的法人或其他组织或自然人。只有适合自然人参与和承接的政府采购项目，供应商才可以是自然人。</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2.5“单位负责人”指单位法定代表人（供应商为法人的）或法律、法规规定代表单位行使职权的主要负责人（供应商为其他组织的）。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2.6“供应商代表”指供应商（为法人或其他组织的）的单位负责人或由其授权的委托代理人，即单位负责人授权书中载明的接受授权方。供应商为自然人的，由本人签字并附身份证明。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3.合格的供应商：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3.1一般规定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3.1.1供应商应当遵守中国的有关法律、法规和规章的规定，参加政府采购活动时已经自觉检查并按照政府采购相关法律规定，主动回避相应利害关系。</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3.1.2为采购项目提供整体设计、规范编制或项目管理、监理、检测等服务的供应商，不得再参加该采购项目除整体设计、规范编制和项目管理、监理、检测等服务之外的其他采购活动</w:t>
      </w:r>
      <w:r>
        <w:rPr>
          <w:rFonts w:hint="eastAsia" w:ascii="宋体" w:hAnsi="宋体" w:eastAsia="宋体" w:cs="宋体"/>
          <w:b/>
          <w:bCs/>
          <w:color w:val="auto"/>
          <w:kern w:val="0"/>
          <w:sz w:val="24"/>
          <w:szCs w:val="24"/>
          <w:highlight w:val="none"/>
        </w:rPr>
        <w:t>。</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3.1.3列入失信被执行人、重大税收违法案件当事人名单、政府采购严重违法失信行为记录名单及其他不符合《中华人民共和国政府采购法》第二十二条规定条件的供应商，不得参加政府采购活动</w:t>
      </w:r>
      <w:r>
        <w:rPr>
          <w:rFonts w:hint="eastAsia" w:ascii="宋体" w:hAnsi="宋体" w:eastAsia="宋体" w:cs="宋体"/>
          <w:b/>
          <w:bCs/>
          <w:color w:val="auto"/>
          <w:kern w:val="0"/>
          <w:sz w:val="24"/>
          <w:szCs w:val="24"/>
          <w:highlight w:val="none"/>
        </w:rPr>
        <w:t>。</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供应商有责任检查自身情况，在响应文件中对是否违反以上一般规定做出如实声明，否则其响应文件将被否决。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3.2特别规定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3.2.1供应商的资格要求：详见竞争性谈判须知前附表第1项。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3.2.2是否接受联合体形式的响应谈判：详见竞争性谈判须知前附表第2项。若接受联合体形式且供应商为联合体，则联合体各方除了应遵守本章第3.1条规定外，还应遵守下列规定：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（1）联合体各方应提交联合体协议，联合体协议应符合谈判文件规定。</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（2）联合体各方不得再单独参加或与其他供应商另外组成联合体参加同一合同项下的响应谈判。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（3）联合体各方应共同与采购人签订政府采购合同，就政府采购合同约定的事项对采购人承担连带责任。</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4.参与竞争性谈判费用：</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4.1除法律法规或采购文件另有规定之外，供应商应自行承担其准备与参加竞争性谈判所涉及的一切费用。</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二、竞争性谈判文件</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5.竞争性谈判文件的组成：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5.1竞争性谈判文件由下述部分组成：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第一章 采购公告（或采购邀请书）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第二章 竞争性谈判须知</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第三章 采购内容及要求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第四章 合同主要条款及格式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第五章 首次响应文件格式</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5.2除上述内容以外，采购人、采购代理机构或者谈判小组在采购过程期间对谈判文件所作的澄清、修改或补充，均构成谈判文件的组成部分，对采购人和供应商具有约束力。</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6.竞争性谈判文件的澄清、补充或修改：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三、响应文件编制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7.应标要求</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7.1供应商可按照合同包号，对竞争性谈判文件中载明的全部或部分合同包进行响应。对于能够详细列明采购标的技术、服务要求的采购项目，供应商响应时，对同一个合同包内所有的采购内容和要求必须进行完整响应，</w:t>
      </w:r>
      <w:r>
        <w:rPr>
          <w:rFonts w:hint="eastAsia" w:ascii="宋体" w:hAnsi="宋体" w:eastAsia="宋体" w:cs="宋体"/>
          <w:b/>
          <w:bCs/>
          <w:color w:val="auto"/>
          <w:kern w:val="0"/>
          <w:sz w:val="24"/>
          <w:szCs w:val="24"/>
          <w:highlight w:val="none"/>
        </w:rPr>
        <w:t>否则其相应合同包的响应文件将被否决。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7.2供应商代表在同一个合同项下只能接受一个供应商的委托参加响应谈判，</w:t>
      </w:r>
      <w:r>
        <w:rPr>
          <w:rFonts w:hint="eastAsia" w:ascii="宋体" w:hAnsi="宋体" w:eastAsia="宋体" w:cs="宋体"/>
          <w:b/>
          <w:bCs/>
          <w:color w:val="auto"/>
          <w:kern w:val="0"/>
          <w:sz w:val="24"/>
          <w:szCs w:val="24"/>
          <w:highlight w:val="none"/>
        </w:rPr>
        <w:t>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7.3供应商应仔细阅读谈判文件的所有内容和要求，按谈判文件的规定提供响应文件，并对其所提供的全部资料、承诺和声明的真实性、合法性和准确性负责。</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7.4除非竞争性谈判须知前附表另有规定外，供应商提供的响应文件应使用中文文本，若有不同文字文本，以中文文本为准。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7.6除非竞争性谈判须知前附表另有规定外，供应商承诺的报价应以人民币进行报价，合同实施结算时亦以人民币支付；所有计量均采用中华人民共和国法定计量单位。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8.首次响应文件的组成：</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8.1首次响应文件包括但不限于下列部分：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（1）谈判响应声明</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（2）报价一览表（含详细报价书）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（3）资格证明文件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（4）谈判保证金凭证</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（5）技术和商务偏离表</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（6）相关技术、商务、服务响应承诺及资料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（7）供应商提交符合政府采购政策的证明材料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（8）要求作为响应文件组成部分的其他内容（若有）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9.响应文件有效期：</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9.1响应文件有效期见竞争性谈判须知前附表第3项，响应文件承诺的有效期不得少于谈判文件载明的有效期，</w:t>
      </w:r>
      <w:r>
        <w:rPr>
          <w:rFonts w:hint="eastAsia" w:ascii="宋体" w:hAnsi="宋体" w:eastAsia="宋体" w:cs="宋体"/>
          <w:b/>
          <w:bCs/>
          <w:color w:val="auto"/>
          <w:kern w:val="0"/>
          <w:sz w:val="24"/>
          <w:szCs w:val="24"/>
          <w:highlight w:val="none"/>
        </w:rPr>
        <w:t>否则其响应文件将被否决。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9.2特殊情况下采购人可于响应文件有效期满之前要求供应商同意延长有效期，要求与答复均应为书面形式。供应商可以拒绝延长有效期，且其谈判保证金可以退还，但其供应商资格将被取消。同意延长有效期的供应商，不需要也不允许修改其响应文件及谈判承诺，但将要求其相应延长谈判保证金有效期，有关退还和不予退还谈判保证金的规定在有效期延长期内继续有效。</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10.谈判保证金：</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10.1供应商应在参加竞争性谈判之前按竞争性谈判须知前附表第4项规定的金额、形式等要求提交谈判保证金。谈判文件若接受联合体形式且供应商为联合体的，则由联合体中的牵头方负责提交谈判保证金，其提交的谈判保证金对联合体各方均具有约束力。</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10.2谈判保证金为响应文件的重要组成部分之一。谈判保证金用于保护本次谈判活动免受供应商的违约或失信行为而引起的风险。未按规定提交谈判保证金的，</w:t>
      </w:r>
      <w:r>
        <w:rPr>
          <w:rFonts w:hint="eastAsia" w:ascii="宋体" w:hAnsi="宋体" w:eastAsia="宋体" w:cs="宋体"/>
          <w:b/>
          <w:bCs/>
          <w:color w:val="auto"/>
          <w:kern w:val="0"/>
          <w:sz w:val="24"/>
          <w:szCs w:val="24"/>
          <w:highlight w:val="none"/>
        </w:rPr>
        <w:t>其响应文件将被否决。</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10.3谈判保证金退还：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5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10.3.2质疑或投诉涉及的供应商，若其谈判保证金尚未退还，则待质疑或投诉处理完毕后，且没有发生法律法规或者谈判文件规定的不予退还谈判保证金情形，则由采购人或采购代理机构给予及时退还。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10.4如果供应商发生以下任何一种情况时，其谈判保证金将被不予退还：</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(1)供应商在提交响应文件截止时间后撤回响应文件的；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(2)供应商在响应文件中提供虚假材料的；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(3)除因不可抗力或谈判文件认可的情形以外，成交供应商不与采购人签订合同的；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(4)供应商与采购人、其他供应商或者采购代理机构恶意串通的；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(5)供应商在提交最后报价后要求退出谈判的；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(6)供应商假借以他人名义参加谈判或者以其他方式弄虚作假，骗取成交；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(7)国家法律法规以及谈判文件中规定的其他谈判保证金不予退还的情形。</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上述不予退还谈判保证金的情况不能抵偿给采购人或采购代理机构造成损失的，供应商还要承担赔偿责任。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11.纸质响应文件基本编制要求：</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11.1供应商须编制由本须知规定组成的响应文件正副本份数详见竞争性谈判须知前附表第6项。响应文件正本和全部副本均应使用不能擦去的墨料或墨水打印、书写或复印，副本可以用正本的完整复印件。响应文件封面上应标明“正本”、“副本”字样。正本与副本内容如有不一致，则以正本为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11.2响应文件应由供应商代表签字并加盖公章。供应商代表如果不是竞争性谈判须知中定义的“单位负责人”，则其响应文件中还必须提供“单位负责人授权书”。</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11.3响应文件应尽量避免涂改、行间插字或删除。如果出现上述情况，改动之处应加盖供应商单位公章或由供应商代表签字确认。</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11.4供应商应提交证明其拟提供货物、服务或工程符合谈判文件要求的技术和商务响应文件，该文件可以是文字资料、图纸和数据，并对拟提供的货物、服务或工程的主要内容进行详细描述。</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12.纸质响应文件的密封、标识、签署和提交（除谈判文件相应章节已有规定之外）</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12.1供应商应当将响应文件密封包装提交，并在外封套上标识项目名称、项目编号、供应商单位名称以及“于         之前（指首次响应文件递交截止日期及时间）不准启封响应文件”的字样。由于供应商未按照要求对其提交的响应文件进行密封、标识、确认等，由此可能产生的后果（包括拒收、误放、遗漏或提前拆封等情形），将由供应商自行承担相应结果，采购人或采购代理机构不承担责任。</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12.2供应商应当在谈判文件规定的提交响应文件截止时间前，将首次响应文件密封送达谈判文件规定的指定地点。在截止时间后送达的首次响应文件为无效文件，采购人、采购代理机构或者谈判小组将不予接收。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12.5当投标截止时间结束后参加投标的响应人只有两家的，根据《政府采购非招标采购方式管理办法》[财政部令第74号]第二十七条规定并已得到政府采购监管部门的批准，现场继续谈判。当参加投标的响应人只有一家的，竞争性谈判终止，除采购任务取消情形外，采购人将依法重新组织采购或者采取其他方式采购。</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四、竞争性谈判</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13.评审和谈判基本准则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13.1对所有供应商的评审和谈判，都采用相同的程序和标准。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13.2谈判及评审过程将严格按照谈判文件的要求和条件进行，谈判小组将根据供应商的响应文件，按谈判文件规定的谈判程序和评定成交标准进行评审和谈判，并推荐成交候选人。</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14.谈判程序以及评定成交标准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14.1采购人将根据项目的特点依法组建谈判小组。谈判小组将根据谈判文件规定的程序、评定成交标准等内容对供应商进行评审、谈判。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14.2.1供应商有下列情况之一者，其提交的响应文件将被视为未实质性响应谈判文件要求，谈判小组将否决其响应文件，按无效处理：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(1)响应文件中提供的资格证明文件不全的；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(2)响应文件未按谈判文件规定由供应商代表签字，或未按谈判文件规定加盖供应商单位公章的；或供应商代表未获得有效授权的；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(3)供应商未按谈判文件规定提交谈判保证金的；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(4)响应文件有效期不满足谈判文件要求的；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(5)响应内容与谈判采购内容及要求有重大偏离或保留的，限制了采购人的权利或者减少成交供应商合同项下的义务；（由于谈判项目本身特点，不能详细列明采购标的的技术、服务要求的除外）；</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(6)响应文件中附有采购人无法接受的条件的；</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(7)不符合谈判文件中规定的其它实质性条款（比如：报价超过了谈判文件规定的最高限价）。</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14.2.2其他情形</w:t>
      </w:r>
    </w:p>
    <w:p>
      <w:pPr>
        <w:pStyle w:val="39"/>
        <w:spacing w:line="400" w:lineRule="exact"/>
        <w:rPr>
          <w:rFonts w:hint="default"/>
          <w:color w:val="auto"/>
          <w:sz w:val="24"/>
          <w:szCs w:val="24"/>
          <w:highlight w:val="none"/>
        </w:rPr>
      </w:pPr>
      <w:r>
        <w:rPr>
          <w:color w:val="auto"/>
          <w:sz w:val="24"/>
          <w:szCs w:val="24"/>
          <w:highlight w:val="none"/>
        </w:rPr>
        <w:t>采购包1：</w:t>
      </w:r>
    </w:p>
    <w:p>
      <w:pPr>
        <w:pStyle w:val="39"/>
        <w:spacing w:line="400" w:lineRule="exact"/>
        <w:rPr>
          <w:rFonts w:hint="default"/>
          <w:color w:val="auto"/>
          <w:sz w:val="24"/>
          <w:szCs w:val="24"/>
          <w:highlight w:val="none"/>
        </w:rPr>
      </w:pPr>
      <w:r>
        <w:rPr>
          <w:color w:val="auto"/>
          <w:sz w:val="24"/>
          <w:szCs w:val="24"/>
          <w:highlight w:val="none"/>
        </w:rPr>
        <w:t>技术符合性</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0"/>
        <w:gridCol w:w="82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情形</w:t>
            </w:r>
          </w:p>
        </w:tc>
        <w:tc>
          <w:tcPr>
            <w:tcW w:w="8234" w:type="dxa"/>
          </w:tcPr>
          <w:p>
            <w:pPr>
              <w:pStyle w:val="39"/>
              <w:spacing w:line="400" w:lineRule="exact"/>
              <w:rPr>
                <w:rFonts w:hint="default"/>
                <w:color w:val="auto"/>
                <w:sz w:val="24"/>
                <w:szCs w:val="24"/>
                <w:highlight w:val="none"/>
              </w:rPr>
            </w:pPr>
            <w:r>
              <w:rPr>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技术符合性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谈判文件第三章“二、技术和服务要求”中所有技术参数为不允许负偏离的实质性要求，若出现负偏离，则按未实质性响应谈判文件要求处理，其报价无效。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655" w:hRule="atLeast"/>
        </w:trPr>
        <w:tc>
          <w:tcPr>
            <w:tcW w:w="1440" w:type="dxa"/>
          </w:tcPr>
          <w:p>
            <w:pPr>
              <w:pStyle w:val="39"/>
              <w:spacing w:line="400" w:lineRule="exact"/>
              <w:rPr>
                <w:rFonts w:hint="default"/>
                <w:color w:val="auto"/>
                <w:sz w:val="24"/>
                <w:szCs w:val="24"/>
                <w:highlight w:val="none"/>
              </w:rPr>
            </w:pPr>
            <w:r>
              <w:rPr>
                <w:color w:val="auto"/>
                <w:sz w:val="24"/>
                <w:szCs w:val="24"/>
                <w:highlight w:val="none"/>
              </w:rPr>
              <w:t>技术符合性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违反谈判文件中载明“投标无效”条款的规定或不符合谈判文件规定的其它实质性要求。</w:t>
            </w:r>
          </w:p>
        </w:tc>
      </w:tr>
    </w:tbl>
    <w:p>
      <w:pPr>
        <w:pStyle w:val="39"/>
        <w:spacing w:line="400" w:lineRule="exact"/>
        <w:rPr>
          <w:rFonts w:hint="default"/>
          <w:color w:val="auto"/>
          <w:sz w:val="24"/>
          <w:szCs w:val="24"/>
          <w:highlight w:val="none"/>
        </w:rPr>
      </w:pPr>
      <w:r>
        <w:rPr>
          <w:color w:val="auto"/>
          <w:sz w:val="24"/>
          <w:szCs w:val="24"/>
          <w:highlight w:val="none"/>
        </w:rPr>
        <w:t>商务符合性</w:t>
      </w:r>
    </w:p>
    <w:tbl>
      <w:tblPr>
        <w:tblStyle w:val="20"/>
        <w:tblW w:w="967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440"/>
        <w:gridCol w:w="823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情形</w:t>
            </w:r>
          </w:p>
        </w:tc>
        <w:tc>
          <w:tcPr>
            <w:tcW w:w="8234" w:type="dxa"/>
          </w:tcPr>
          <w:p>
            <w:pPr>
              <w:pStyle w:val="39"/>
              <w:spacing w:line="400" w:lineRule="exact"/>
              <w:rPr>
                <w:rFonts w:hint="default"/>
                <w:color w:val="auto"/>
                <w:sz w:val="24"/>
                <w:szCs w:val="24"/>
                <w:highlight w:val="none"/>
              </w:rPr>
            </w:pPr>
            <w:r>
              <w:rPr>
                <w:color w:val="auto"/>
                <w:sz w:val="24"/>
                <w:szCs w:val="24"/>
                <w:highlight w:val="none"/>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商务符合性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谈判文件第三章“三、商务条件”中所有内容为不允许负偏离的实质性要求，若出现负偏离， 则按未实质性响应谈判文件要求处理，其报价无效。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440" w:type="dxa"/>
          </w:tcPr>
          <w:p>
            <w:pPr>
              <w:pStyle w:val="39"/>
              <w:spacing w:line="400" w:lineRule="exact"/>
              <w:rPr>
                <w:rFonts w:hint="default"/>
                <w:color w:val="auto"/>
                <w:sz w:val="24"/>
                <w:szCs w:val="24"/>
                <w:highlight w:val="none"/>
              </w:rPr>
            </w:pPr>
            <w:r>
              <w:rPr>
                <w:color w:val="auto"/>
                <w:sz w:val="24"/>
                <w:szCs w:val="24"/>
                <w:highlight w:val="none"/>
              </w:rPr>
              <w:t>商务符合性</w:t>
            </w:r>
          </w:p>
        </w:tc>
        <w:tc>
          <w:tcPr>
            <w:tcW w:w="8234" w:type="dxa"/>
          </w:tcPr>
          <w:p>
            <w:pPr>
              <w:pStyle w:val="39"/>
              <w:spacing w:line="400" w:lineRule="exact"/>
              <w:rPr>
                <w:rFonts w:hint="default"/>
                <w:color w:val="auto"/>
                <w:sz w:val="24"/>
                <w:szCs w:val="24"/>
                <w:highlight w:val="none"/>
              </w:rPr>
            </w:pPr>
            <w:r>
              <w:rPr>
                <w:color w:val="auto"/>
                <w:sz w:val="24"/>
                <w:szCs w:val="24"/>
                <w:highlight w:val="none"/>
              </w:rPr>
              <w:t>违反谈判文件中载明“投标无效”条款的规定或不符合谈判文件规定的其它实质性要求</w:t>
            </w:r>
          </w:p>
        </w:tc>
      </w:tr>
    </w:tbl>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r>
        <w:rPr>
          <w:b/>
          <w:color w:val="auto"/>
          <w:sz w:val="24"/>
          <w:szCs w:val="24"/>
          <w:highlight w:val="none"/>
        </w:rPr>
        <w:t>谈判小组决定供应商的响应性只根据响应文件本身的内容，而不寻求其他的外部证据。</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7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14.6谈判文件能够详细列明采购标的的技术、服务要求的，谈判结束后，谈判小组应当要求所有继续参加谈判的供应商在规定时间内提交最后报价。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等规范性文件允许的两家供应商进行竞争性谈判采购情形，则提交最后报价的供应商可以为2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的规范性文件允许的两家供应商进行竞争性谈判采购情形，则提交最后报价的供应商可以为2家。</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14.9谈判小组将从质量和服务均能满足采购文件实质性响应要求的供应商中，按照评审价由低到高的顺序提出3名以上成交候选人，并编写评审报告。本项目根据《政府采购非招标采购方式管理办法》[财政部令第74号]第二十七条规定并已得到政府采购监管部门的批准，当投标截止时间结束后参加投标的响应人只有两家的，现场继续谈判。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14.10供应商提交的响应文件和资料将给予保密，但不退回（有关证件或证照的原件除外）。</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32"/>
          <w:szCs w:val="32"/>
          <w:highlight w:val="none"/>
        </w:rPr>
        <w:t>五、合同授予</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15.授予合同的准则：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15.1除不可抗力等因素外，合同将授予响应文件符合竞争性谈判文件要求，能够圆满地履行合同，且被谈判小组推荐为第一成交候选人的供应商。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15.3为维护国家利益和社会公共利益，最低报价不是被授予合同的绝对保证。</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16.确定成交供应商：</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16.1采购人委托代理机构组织竞争性谈判采购活动的，采购代理机构在评审结束后2个工作日内将评审报告送采购人确认。</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17.成交通知:</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18.签订合同：</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18.1采购人与成交供应商应当在成交通知书发出之日起30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18.2竞争性谈判文件、成交供应商的响应文件及其有关澄清承诺文件等，均为签订政府采购合同的依据和组成部分。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六、询问、质疑与投诉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19.询问</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19.1潜在供应商或供应商对本次采购活动的有关事项若有疑问，可向采购人或采购代理机构提出询问，采购人或采购代理机构将按照政府采购法及实施条例的有关规定进行答复。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20.质疑</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20.1质疑应在政府采购法及实施条例规定的时效内提出，并符合下列条件：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20.1.1对谈判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20.1.2质疑人应提交质疑函原件。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20.1.3质疑函应包括下列主要内容：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②所质疑项目的基本信息，至少包括：项目编号、项目名称等；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③所质疑的具体事项（以下简称：“质疑事项”）；</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④质疑人自身权益受到损害的事实依据和证明材料，至少包括：</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a1所质疑的具体事项事实存在的证明材料；</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a2所质疑的具体事项事实导致质疑人自身权益受到损害的证明材料，如：采购文件、采购过程或成交结果违法违规，损害自已合法权益等证明材料；</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⑤针对质疑事项提出的明确请求和法律依据，</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⑥提出质疑的日期以及质疑人代表联系方式，至少包括：姓名、手机、电子信箱、邮寄地址等。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20.2对不符合前文第20.1条规定的质疑，采购人或采购代理机构将按照下列规定进行处理：</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20.2.1超过质疑时效提交的或者质疑人不是直接参与所质疑项目采购活动的供应商，书面告知质疑人其质疑不成立的原因和理由。</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widowControl/>
        <w:spacing w:line="400" w:lineRule="exact"/>
        <w:ind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20.2.3质疑人修改、补充质疑函超过质疑时效提交的按20.2.1款处理。供应商提交质疑函时，要认真阅读本章第20条关于质疑的相关规定，以免内容或资料不齐，需要修改补充而延误时间。</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20.3对符合前文第20.1条规定的质疑，采购人或采购代理机构将按照政府采购法及实施条例的有关规定进行答复。</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21.投诉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21.1若对质疑答复不满意或质疑答复未在答复期限内作出，质疑人可在答复期限届满之日起15个工作日内向谈判文件中载明的监督管理部门投诉。</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21.1投诉应有明确的请求和必要的证明材料，投诉的事项不得超出已质疑事项的范围。</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pPr>
        <w:widowControl/>
        <w:spacing w:line="400" w:lineRule="exact"/>
        <w:jc w:val="center"/>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七、有关信息公告和监督部门</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22.政府采购信息公告媒体</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22.2信息公告指定媒体：详见竞争性谈判须知前附表第8项。</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23.监督管理部门</w:t>
      </w:r>
    </w:p>
    <w:p>
      <w:pPr>
        <w:widowControl/>
        <w:spacing w:line="400" w:lineRule="exact"/>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23.1谈判采购活动的监督管理部门详见竞争性谈判须知前附表第9项。</w:t>
      </w:r>
    </w:p>
    <w:p>
      <w:pPr>
        <w:widowControl/>
        <w:spacing w:line="400" w:lineRule="exact"/>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 </w:t>
      </w:r>
    </w:p>
    <w:p>
      <w:pPr>
        <w:pStyle w:val="39"/>
        <w:spacing w:line="400" w:lineRule="exact"/>
        <w:jc w:val="center"/>
        <w:outlineLvl w:val="2"/>
        <w:rPr>
          <w:rFonts w:hint="default"/>
          <w:color w:val="auto"/>
          <w:highlight w:val="none"/>
        </w:rPr>
      </w:pPr>
      <w:r>
        <w:rPr>
          <w:rFonts w:ascii="宋体" w:hAnsi="宋体" w:eastAsia="宋体" w:cs="宋体"/>
          <w:b/>
          <w:bCs/>
          <w:color w:val="auto"/>
          <w:sz w:val="32"/>
          <w:szCs w:val="32"/>
          <w:highlight w:val="none"/>
        </w:rPr>
        <w:t>八、</w:t>
      </w:r>
      <w:r>
        <w:rPr>
          <w:b/>
          <w:color w:val="auto"/>
          <w:sz w:val="28"/>
          <w:highlight w:val="none"/>
        </w:rPr>
        <w:t>政府采购政策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24、政府采购政策由财政部根据国家的经济和社会发展政策并会同国家有关部委制定，包括但不限于下列管理办法或措施：</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24.1进口产品指通过中国海关报关验放进入中国境内且产自关境外的产品，其中：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（2）凡在海关特殊监管区域内企业生产或加工（包括从境外进口料件）销往境内其他地区的产品，不作为政府采购项下进口产品。</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（3）对从境外进入海关特殊监管区域，再经办理报关手续后从海关特殊监管区进入境内其他地区的产品，认定为进口产品。</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（4）谈判文件列明不允许或未列明允许进口产品参加报价的，均视为拒绝进口产品参加报价。</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 xml:space="preserve">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（1）中小企业指符合下列条件的中型、小型、微型企业：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②符合中小企业划分标准的个体工商户，在政府采购活动中视同中小企业。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（2）在政府采购活动中，供应商提供的货物、工程或者服务符合下列情形的，享受本办法规定的中小企业扶持政策：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①在货物采购项目中，货物由中小企业制造，即货物由中小企业生产且使用该中小企业商号或者注册商标；</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②在工程采购项目中，工程由中小企业承建，即工程施工单位为中小企业；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③在服务采购项目中，服务由中小企业承接，即提供服务的人员为中小企业依照《中华人民共和国劳动合同法》 订立劳动合同的从业人员。</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在货物采购项目中，供应商提供的货物既有中小企业制造货物，也有大型企业制造货物的，不享受本办法规定的中小企业扶持政策。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以联合体形式参加政府采购活动，联合体各方均为中小企业的，联合体视同中小企业。其中，联合体各方均为小微企业的，联合体视同小微企业。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（3）供应商应当按照谈判文件明确的采购标的对应行业的划分标准出具中小企业声明函。</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①监狱企业参加采购活动时，应提供由省级以上监狱管理局、戒毒管理局（含新疆生产建设兵团）出具的属于监狱企业的证明文件。</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②监狱企业视同小型、微型企业。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（5）残疾人福利性单位指同时符合下列条件的单位：</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①安置的残疾人占本单位在职职工人数的比例不低于25%（含25%），并且安置的残疾人人数不少于10人（含10人）；</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②依法与安置的每位残疾人签订了一年以上（含一年）的劳动合同或服务协议；</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③为安置的每位残疾人按月足额缴纳了基本养老保险、基本医疗保险、失业保险、工伤保险和生育保险等社会保险费；</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④通过银行等金融机构向安置的每位残疾人，按月支付了不低于单位所在区县适用的经省级人民政府批准的月最低工资标准的工资；</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⑤提供本单位制造的货物、承担的工程或服务，或提供其他残疾人福利性单位制造的货物（不包括使用非残疾人福利性单位注册商标的货物）。</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24.5信用记录指由财政部确定的有关网站提供的相关主体信用信息。信用记录的查询及使用应符合财政部文件（财库[2016]125号）规定。</w:t>
      </w:r>
    </w:p>
    <w:p>
      <w:pPr>
        <w:pStyle w:val="39"/>
        <w:spacing w:line="400" w:lineRule="exact"/>
        <w:jc w:val="center"/>
        <w:outlineLvl w:val="2"/>
        <w:rPr>
          <w:rFonts w:hint="default" w:ascii="宋体" w:hAnsi="宋体" w:eastAsia="宋体" w:cs="宋体"/>
          <w:b/>
          <w:color w:val="auto"/>
          <w:sz w:val="28"/>
          <w:szCs w:val="28"/>
          <w:highlight w:val="none"/>
        </w:rPr>
      </w:pPr>
    </w:p>
    <w:p>
      <w:pPr>
        <w:pStyle w:val="39"/>
        <w:spacing w:line="400" w:lineRule="exact"/>
        <w:jc w:val="center"/>
        <w:outlineLvl w:val="2"/>
        <w:rPr>
          <w:rFonts w:hint="default" w:ascii="宋体" w:hAnsi="宋体" w:eastAsia="宋体" w:cs="宋体"/>
          <w:color w:val="auto"/>
          <w:sz w:val="28"/>
          <w:szCs w:val="28"/>
          <w:highlight w:val="none"/>
        </w:rPr>
      </w:pPr>
      <w:r>
        <w:rPr>
          <w:rFonts w:ascii="宋体" w:hAnsi="宋体" w:eastAsia="宋体" w:cs="宋体"/>
          <w:b/>
          <w:color w:val="auto"/>
          <w:sz w:val="28"/>
          <w:szCs w:val="28"/>
          <w:highlight w:val="none"/>
        </w:rPr>
        <w:t>九、根据采购项目特点或政策需要补充的其他内容</w:t>
      </w:r>
    </w:p>
    <w:p>
      <w:pPr>
        <w:pStyle w:val="39"/>
        <w:spacing w:line="400" w:lineRule="exact"/>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25.履约保证金</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25.1采购人可以根据项目特点和需要，确定是否要求成交供应商在合同签订前，按照谈判文件规定的时间、形式、金额提交履约保证金，履约保证金的数额不超过中标合同金额的10%，具体详见竞争性谈判须知前附表第10项规定。</w:t>
      </w:r>
    </w:p>
    <w:p>
      <w:pPr>
        <w:pStyle w:val="39"/>
        <w:spacing w:line="400" w:lineRule="exact"/>
        <w:ind w:firstLine="480"/>
        <w:jc w:val="both"/>
        <w:rPr>
          <w:rFonts w:hint="default" w:ascii="宋体" w:hAnsi="宋体" w:eastAsia="宋体" w:cs="宋体"/>
          <w:bCs/>
          <w:color w:val="auto"/>
          <w:sz w:val="24"/>
          <w:szCs w:val="24"/>
          <w:highlight w:val="none"/>
        </w:rPr>
      </w:pPr>
      <w:r>
        <w:rPr>
          <w:rFonts w:ascii="宋体" w:hAnsi="宋体" w:eastAsia="宋体" w:cs="宋体"/>
          <w:bCs/>
          <w:color w:val="auto"/>
          <w:sz w:val="24"/>
          <w:szCs w:val="24"/>
          <w:highlight w:val="none"/>
        </w:rPr>
        <w:t>25.2谈判文件要求在合同签订前提交履约保证金，如果成交供应商无故拖延或者拒不提交履约保证金的，则视为成交供应商拒绝与采购人签订合同，该成交供应商将承担违法行为的法律责任。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26.其他新增内容：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26.1根据采购项目特点或政策需要补充的其他新增内容详见竞争性谈判须知前附表第11项。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pPr>
        <w:widowControl/>
        <w:spacing w:before="75" w:after="75"/>
        <w:rPr>
          <w:rFonts w:ascii="宋体" w:hAnsi="宋体" w:eastAsia="宋体" w:cs="宋体"/>
          <w:b/>
          <w:bCs/>
          <w:color w:val="auto"/>
          <w:kern w:val="0"/>
          <w:sz w:val="24"/>
          <w:szCs w:val="24"/>
          <w:highlight w:val="none"/>
        </w:rPr>
      </w:pPr>
    </w:p>
    <w:p>
      <w:pPr>
        <w:widowControl/>
        <w:spacing w:before="75" w:after="75"/>
        <w:rPr>
          <w:rFonts w:ascii="宋体" w:hAnsi="宋体" w:eastAsia="宋体" w:cs="宋体"/>
          <w:b/>
          <w:bCs/>
          <w:color w:val="auto"/>
          <w:kern w:val="0"/>
          <w:sz w:val="24"/>
          <w:szCs w:val="24"/>
          <w:highlight w:val="none"/>
        </w:rPr>
      </w:pPr>
    </w:p>
    <w:p>
      <w:pPr>
        <w:rPr>
          <w:rFonts w:hint="eastAsia" w:ascii="宋体" w:hAnsi="宋体" w:eastAsia="宋体" w:cs="宋体"/>
          <w:b/>
          <w:bCs/>
          <w:color w:val="auto"/>
          <w:kern w:val="0"/>
          <w:sz w:val="30"/>
          <w:szCs w:val="30"/>
          <w:highlight w:val="none"/>
        </w:rPr>
        <w:sectPr>
          <w:headerReference r:id="rId3" w:type="default"/>
          <w:footerReference r:id="rId4" w:type="default"/>
          <w:pgSz w:w="11907" w:h="16840"/>
          <w:pgMar w:top="1134" w:right="1313" w:bottom="1134" w:left="1134" w:header="567" w:footer="567" w:gutter="0"/>
          <w:cols w:space="0" w:num="1"/>
          <w:docGrid w:linePitch="312" w:charSpace="0"/>
        </w:sectPr>
      </w:pPr>
      <w:r>
        <w:rPr>
          <w:rFonts w:hint="eastAsia" w:ascii="宋体" w:hAnsi="宋体" w:eastAsia="宋体" w:cs="宋体"/>
          <w:color w:val="auto"/>
          <w:kern w:val="0"/>
          <w:sz w:val="24"/>
          <w:szCs w:val="24"/>
          <w:highlight w:val="none"/>
        </w:rPr>
        <w:br w:type="page"/>
      </w:r>
    </w:p>
    <w:p>
      <w:pPr>
        <w:widowControl/>
        <w:spacing w:before="75" w:after="75"/>
        <w:jc w:val="center"/>
        <w:rPr>
          <w:rFonts w:ascii="宋体" w:hAnsi="宋体" w:eastAsia="宋体" w:cs="宋体"/>
          <w:color w:val="auto"/>
          <w:kern w:val="0"/>
          <w:sz w:val="28"/>
          <w:szCs w:val="28"/>
          <w:highlight w:val="none"/>
        </w:rPr>
      </w:pPr>
      <w:r>
        <w:rPr>
          <w:rFonts w:hint="eastAsia" w:ascii="宋体" w:hAnsi="宋体" w:eastAsia="宋体" w:cs="宋体"/>
          <w:b/>
          <w:bCs/>
          <w:color w:val="auto"/>
          <w:kern w:val="0"/>
          <w:sz w:val="30"/>
          <w:szCs w:val="30"/>
          <w:highlight w:val="none"/>
        </w:rPr>
        <w:t>第三章  采购内容及要求</w:t>
      </w:r>
    </w:p>
    <w:p>
      <w:pPr>
        <w:pStyle w:val="13"/>
        <w:widowControl/>
        <w:spacing w:before="75" w:after="75"/>
        <w:rPr>
          <w:rFonts w:ascii="宋体" w:hAnsi="宋体" w:eastAsia="宋体" w:cs="宋体"/>
          <w:b/>
          <w:bCs/>
          <w:color w:val="auto"/>
          <w:highlight w:val="none"/>
        </w:rPr>
      </w:pPr>
    </w:p>
    <w:p>
      <w:pPr>
        <w:pStyle w:val="13"/>
        <w:widowControl/>
        <w:numPr>
          <w:ilvl w:val="0"/>
          <w:numId w:val="3"/>
        </w:numPr>
        <w:spacing w:line="240" w:lineRule="auto"/>
        <w:ind w:firstLine="482" w:firstLineChars="200"/>
        <w:rPr>
          <w:color w:val="auto"/>
          <w:highlight w:val="none"/>
        </w:rPr>
      </w:pPr>
      <w:r>
        <w:rPr>
          <w:rFonts w:hint="eastAsia" w:ascii="宋体" w:hAnsi="宋体" w:eastAsia="宋体" w:cs="宋体"/>
          <w:b/>
          <w:bCs/>
          <w:color w:val="auto"/>
          <w:highlight w:val="none"/>
        </w:rPr>
        <w:t>项目概况（采购标的）</w:t>
      </w:r>
    </w:p>
    <w:p>
      <w:pPr>
        <w:pStyle w:val="13"/>
        <w:widowControl/>
        <w:numPr>
          <w:ilvl w:val="0"/>
          <w:numId w:val="4"/>
        </w:numPr>
        <w:spacing w:line="240" w:lineRule="auto"/>
        <w:ind w:firstLine="482" w:firstLineChars="200"/>
        <w:rPr>
          <w:rStyle w:val="23"/>
          <w:rFonts w:ascii="宋体" w:hAnsi="宋体" w:eastAsia="宋体" w:cs="宋体"/>
          <w:color w:val="auto"/>
          <w:highlight w:val="none"/>
        </w:rPr>
      </w:pPr>
      <w:r>
        <w:rPr>
          <w:rFonts w:hint="eastAsia" w:ascii="宋体" w:hAnsi="宋体" w:eastAsia="宋体" w:cs="宋体"/>
          <w:b/>
          <w:bCs/>
          <w:color w:val="auto"/>
          <w:highlight w:val="none"/>
        </w:rPr>
        <w:t>技术和服务要求</w:t>
      </w:r>
      <w:r>
        <w:rPr>
          <w:rStyle w:val="23"/>
          <w:rFonts w:hint="eastAsia" w:ascii="宋体" w:hAnsi="宋体" w:eastAsia="宋体" w:cs="宋体"/>
          <w:bCs/>
          <w:color w:val="auto"/>
          <w:highlight w:val="none"/>
        </w:rPr>
        <w:t>（</w:t>
      </w:r>
      <w:r>
        <w:rPr>
          <w:rStyle w:val="23"/>
          <w:rFonts w:hint="eastAsia" w:ascii="宋体" w:hAnsi="宋体" w:eastAsia="宋体" w:cs="宋体"/>
          <w:color w:val="auto"/>
          <w:highlight w:val="none"/>
        </w:rPr>
        <w:t>以“★”标示的内容为不允许负偏离的实质性要求）</w:t>
      </w:r>
    </w:p>
    <w:tbl>
      <w:tblPr>
        <w:tblStyle w:val="20"/>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2889"/>
        <w:gridCol w:w="1645"/>
        <w:gridCol w:w="1486"/>
        <w:gridCol w:w="4214"/>
        <w:gridCol w:w="3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bookmarkStart w:id="1" w:name="_Toc481595013"/>
            <w:r>
              <w:rPr>
                <w:rFonts w:hint="eastAsia" w:asciiTheme="minorEastAsia" w:hAnsiTheme="minorEastAsia" w:eastAsiaTheme="minorEastAsia" w:cstheme="minorEastAsia"/>
                <w:b/>
                <w:bCs w:val="0"/>
                <w:sz w:val="24"/>
                <w:szCs w:val="24"/>
              </w:rPr>
              <w:t>序号</w:t>
            </w:r>
          </w:p>
        </w:tc>
        <w:tc>
          <w:tcPr>
            <w:tcW w:w="2889"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货物名称</w:t>
            </w:r>
          </w:p>
        </w:tc>
        <w:tc>
          <w:tcPr>
            <w:tcW w:w="1645"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lang w:eastAsia="zh-CN"/>
              </w:rPr>
              <w:t>单位</w:t>
            </w:r>
          </w:p>
        </w:tc>
        <w:tc>
          <w:tcPr>
            <w:tcW w:w="1486"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rPr>
              <w:t>数量</w:t>
            </w:r>
          </w:p>
        </w:tc>
        <w:tc>
          <w:tcPr>
            <w:tcW w:w="4214"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参数</w:t>
            </w:r>
          </w:p>
        </w:tc>
        <w:tc>
          <w:tcPr>
            <w:tcW w:w="3392" w:type="dxa"/>
            <w:noWrap w:val="0"/>
            <w:vAlign w:val="center"/>
          </w:tcPr>
          <w:p>
            <w:pPr>
              <w:keepNext w:val="0"/>
              <w:keepLines w:val="0"/>
              <w:pageBreakBefore w:val="0"/>
              <w:kinsoku/>
              <w:wordWrap/>
              <w:overflowPunct/>
              <w:topLinePunct w:val="0"/>
              <w:bidi w:val="0"/>
              <w:snapToGrid/>
              <w:spacing w:line="400" w:lineRule="exact"/>
              <w:ind w:left="0" w:leftChars="0"/>
              <w:jc w:val="center"/>
              <w:textAlignment w:val="auto"/>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公告栏</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1.3X1.5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pvcuv+压克力面双层</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402590" cy="497840"/>
                  <wp:effectExtent l="0" t="0" r="16510" b="1651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6" cstate="print"/>
                          <a:stretch>
                            <a:fillRect/>
                          </a:stretch>
                        </pic:blipFill>
                        <pic:spPr>
                          <a:xfrm>
                            <a:off x="0" y="0"/>
                            <a:ext cx="402590" cy="4978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刷油漆</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8.67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2.93x2.96</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刷油漆</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3.7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1.27X2.92</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学生自律委员会内容</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2.6X1.6</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572135" cy="498475"/>
                  <wp:effectExtent l="0" t="0" r="18415" b="158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cstate="print"/>
                          <a:stretch>
                            <a:fillRect/>
                          </a:stretch>
                        </pic:blipFill>
                        <pic:spPr>
                          <a:xfrm>
                            <a:off x="0" y="0"/>
                            <a:ext cx="572135" cy="4984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侧面柱子装饰布置</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13</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0.7X2.9</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自律的6种习惯背景</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1.5x1.5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不锈钢花格+框架</w:t>
            </w:r>
          </w:p>
        </w:tc>
        <w:tc>
          <w:tcPr>
            <w:tcW w:w="3392"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624205" cy="666115"/>
                  <wp:effectExtent l="0" t="0" r="4445"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8" cstate="print"/>
                          <a:stretch>
                            <a:fillRect/>
                          </a:stretch>
                        </pic:blipFill>
                        <pic:spPr>
                          <a:xfrm>
                            <a:off x="0" y="0"/>
                            <a:ext cx="624205" cy="66611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自律的6种习惯内容</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1.5x1.5</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pvcuv+压克力面双层</w:t>
            </w:r>
          </w:p>
        </w:tc>
        <w:tc>
          <w:tcPr>
            <w:tcW w:w="3392"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自律会门条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条</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22</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1.1米</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超透贴</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柱子书柜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16.27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柱子书柜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16.27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靠墙书柜</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7.29</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展开面积</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多层板</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辅导员之家</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单字32cm高，总长1.74米</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亚克力发光字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56055" cy="343535"/>
                  <wp:effectExtent l="0" t="0" r="10795" b="1841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9" cstate="print"/>
                          <a:stretch>
                            <a:fillRect/>
                          </a:stretch>
                        </pic:blipFill>
                        <pic:spPr>
                          <a:xfrm>
                            <a:off x="0" y="0"/>
                            <a:ext cx="1456055" cy="3435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英文字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米</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字高9cm,总长1.74米</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白色雕刻字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24940" cy="177800"/>
                  <wp:effectExtent l="0" t="0" r="3810" b="1270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10" cstate="print"/>
                          <a:stretch>
                            <a:fillRect/>
                          </a:stretch>
                        </pic:blipFill>
                        <pic:spPr>
                          <a:xfrm>
                            <a:off x="0" y="0"/>
                            <a:ext cx="1424940" cy="17780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t>双层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kern w:val="0"/>
                <w:sz w:val="24"/>
                <w:szCs w:val="24"/>
              </w:rPr>
              <w:t>雕刻板块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单块34cm*13cm高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73200" cy="173990"/>
                  <wp:effectExtent l="0" t="0" r="12700" b="1651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11" cstate="print"/>
                          <a:stretch>
                            <a:fillRect/>
                          </a:stretch>
                        </pic:blipFill>
                        <pic:spPr>
                          <a:xfrm>
                            <a:off x="0" y="0"/>
                            <a:ext cx="1473200" cy="1739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橙色雕刻字1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字高17cm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05535" cy="455295"/>
                  <wp:effectExtent l="0" t="0" r="18415" b="1905"/>
                  <wp:docPr id="3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pic:cNvPicPr>
                            <a:picLocks noChangeAspect="1"/>
                          </pic:cNvPicPr>
                        </pic:nvPicPr>
                        <pic:blipFill>
                          <a:blip r:embed="rId12" cstate="print"/>
                          <a:stretch>
                            <a:fillRect/>
                          </a:stretch>
                        </pic:blipFill>
                        <pic:spPr>
                          <a:xfrm>
                            <a:off x="0" y="0"/>
                            <a:ext cx="1105535" cy="45529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橙色雕刻字2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字高17cm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23950" cy="325755"/>
                  <wp:effectExtent l="0" t="0" r="0" b="17145"/>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13" cstate="print"/>
                          <a:stretch>
                            <a:fillRect/>
                          </a:stretch>
                        </pic:blipFill>
                        <pic:spPr>
                          <a:xfrm>
                            <a:off x="0" y="0"/>
                            <a:ext cx="1123950" cy="3257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木纹铝方通</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5.75*3.2米高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705485" cy="461645"/>
                  <wp:effectExtent l="0" t="0" r="18415" b="1460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14" cstate="print"/>
                          <a:stretch>
                            <a:fillRect/>
                          </a:stretch>
                        </pic:blipFill>
                        <pic:spPr>
                          <a:xfrm>
                            <a:off x="0" y="0"/>
                            <a:ext cx="705485" cy="46164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浅灰色异形隔板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10.925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5.75*1.9米高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阻燃板+石膏板+油漆</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76375" cy="572770"/>
                  <wp:effectExtent l="0" t="0" r="9525" b="17780"/>
                  <wp:docPr id="6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5"/>
                          <pic:cNvPicPr>
                            <a:picLocks noChangeAspect="1"/>
                          </pic:cNvPicPr>
                        </pic:nvPicPr>
                        <pic:blipFill>
                          <a:blip r:embed="rId15" cstate="print"/>
                          <a:stretch>
                            <a:fillRect/>
                          </a:stretch>
                        </pic:blipFill>
                        <pic:spPr>
                          <a:xfrm>
                            <a:off x="0" y="0"/>
                            <a:ext cx="1476375" cy="57277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白色基底隔板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i w:val="0"/>
                <w:color w:val="000000"/>
                <w:kern w:val="0"/>
                <w:sz w:val="24"/>
                <w:szCs w:val="24"/>
                <w:u w:val="none"/>
                <w:lang w:val="en-US" w:eastAsia="zh-CN" w:bidi="ar"/>
              </w:rPr>
              <w:t>18.4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5.75*3.2米高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暗藏灯带</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米</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15</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金属装饰风屏</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2000</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长0.85米*1.92米高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553720" cy="1463040"/>
                  <wp:effectExtent l="0" t="0" r="17780" b="3810"/>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16" cstate="print"/>
                          <a:stretch>
                            <a:fillRect/>
                          </a:stretch>
                        </pic:blipFill>
                        <pic:spPr>
                          <a:xfrm>
                            <a:off x="0" y="0"/>
                            <a:ext cx="553720" cy="14630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毛毡板</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平方</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1.6</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1.6*1米高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57910" cy="670560"/>
                  <wp:effectExtent l="0" t="0" r="8890" b="15240"/>
                  <wp:docPr id="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pic:cNvPicPr>
                            <a:picLocks noChangeAspect="1"/>
                          </pic:cNvPicPr>
                        </pic:nvPicPr>
                        <pic:blipFill>
                          <a:blip r:embed="rId17" cstate="print"/>
                          <a:stretch>
                            <a:fillRect/>
                          </a:stretch>
                        </pic:blipFill>
                        <pic:spPr>
                          <a:xfrm>
                            <a:off x="0" y="0"/>
                            <a:ext cx="1057910" cy="67056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kern w:val="0"/>
                <w:sz w:val="24"/>
                <w:szCs w:val="24"/>
                <w:lang w:val="en-US" w:eastAsia="zh-CN"/>
              </w:rPr>
              <w:t>辅导员誓词（橙色）</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1.1*1.2米高</w:t>
            </w:r>
          </w:p>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62685" cy="984250"/>
                  <wp:effectExtent l="0" t="0" r="18415" b="635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18" cstate="print"/>
                          <a:stretch>
                            <a:fillRect/>
                          </a:stretch>
                        </pic:blipFill>
                        <pic:spPr>
                          <a:xfrm>
                            <a:off x="0" y="0"/>
                            <a:ext cx="1162685" cy="98425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24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防撞条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长60cm*10cm高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42415" cy="308610"/>
                  <wp:effectExtent l="0" t="0" r="635" b="15240"/>
                  <wp:docPr id="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pic:cNvPicPr>
                            <a:picLocks noChangeAspect="1"/>
                          </pic:cNvPicPr>
                        </pic:nvPicPr>
                        <pic:blipFill>
                          <a:blip r:embed="rId19" cstate="print"/>
                          <a:stretch>
                            <a:fillRect/>
                          </a:stretch>
                        </pic:blipFill>
                        <pic:spPr>
                          <a:xfrm>
                            <a:off x="0" y="0"/>
                            <a:ext cx="1542415" cy="30861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2"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柱面字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长54cm,20cm高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68705" cy="464185"/>
                  <wp:effectExtent l="0" t="0" r="17145" b="12065"/>
                  <wp:docPr id="4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6"/>
                          <pic:cNvPicPr>
                            <a:picLocks noChangeAspect="1"/>
                          </pic:cNvPicPr>
                        </pic:nvPicPr>
                        <pic:blipFill>
                          <a:blip r:embed="rId20" cstate="print"/>
                          <a:stretch>
                            <a:fillRect/>
                          </a:stretch>
                        </pic:blipFill>
                        <pic:spPr>
                          <a:xfrm>
                            <a:off x="0" y="0"/>
                            <a:ext cx="1068705" cy="46418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59180" cy="441325"/>
                  <wp:effectExtent l="0" t="0" r="7620" b="1587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21" cstate="print"/>
                          <a:stretch>
                            <a:fillRect/>
                          </a:stretch>
                        </pic:blipFill>
                        <pic:spPr>
                          <a:xfrm>
                            <a:off x="0" y="0"/>
                            <a:ext cx="1059180" cy="44132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38860" cy="454660"/>
                  <wp:effectExtent l="0" t="0" r="8890" b="254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22" cstate="print"/>
                          <a:stretch>
                            <a:fillRect/>
                          </a:stretch>
                        </pic:blipFill>
                        <pic:spPr>
                          <a:xfrm>
                            <a:off x="0" y="0"/>
                            <a:ext cx="1038860" cy="45466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29970" cy="464820"/>
                  <wp:effectExtent l="0" t="0" r="17780" b="1143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23" cstate="print"/>
                          <a:stretch>
                            <a:fillRect/>
                          </a:stretch>
                        </pic:blipFill>
                        <pic:spPr>
                          <a:xfrm>
                            <a:off x="0" y="0"/>
                            <a:ext cx="1029970" cy="4648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金属矮隔断</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1.4米长*0.9米高</w:t>
            </w:r>
          </w:p>
        </w:tc>
        <w:tc>
          <w:tcPr>
            <w:tcW w:w="3392"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01775" cy="1714500"/>
                  <wp:effectExtent l="0" t="0" r="3175" b="0"/>
                  <wp:docPr id="6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2"/>
                          <pic:cNvPicPr>
                            <a:picLocks noChangeAspect="1"/>
                          </pic:cNvPicPr>
                        </pic:nvPicPr>
                        <pic:blipFill>
                          <a:blip r:embed="rId24" cstate="print"/>
                          <a:stretch>
                            <a:fillRect/>
                          </a:stretch>
                        </pic:blipFill>
                        <pic:spPr>
                          <a:xfrm>
                            <a:off x="0" y="0"/>
                            <a:ext cx="1501775" cy="171450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金属矮隔断2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个</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0.86米长*0.9米高</w:t>
            </w:r>
          </w:p>
        </w:tc>
        <w:tc>
          <w:tcPr>
            <w:tcW w:w="3392"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3"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10</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单字长19cm高20cm，共10字</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加厚水晶字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anchor distT="0" distB="0" distL="114300" distR="114300" simplePos="0" relativeHeight="251666432" behindDoc="0" locked="0" layoutInCell="1" allowOverlap="1">
                  <wp:simplePos x="0" y="0"/>
                  <wp:positionH relativeFrom="column">
                    <wp:posOffset>202565</wp:posOffset>
                  </wp:positionH>
                  <wp:positionV relativeFrom="paragraph">
                    <wp:posOffset>436245</wp:posOffset>
                  </wp:positionV>
                  <wp:extent cx="1513205" cy="313055"/>
                  <wp:effectExtent l="0" t="0" r="10795" b="10795"/>
                  <wp:wrapNone/>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25" cstate="print"/>
                          <a:stretch>
                            <a:fillRect/>
                          </a:stretch>
                        </pic:blipFill>
                        <pic:spPr>
                          <a:xfrm>
                            <a:off x="0" y="0"/>
                            <a:ext cx="1513205" cy="313055"/>
                          </a:xfrm>
                          <a:prstGeom prst="rect">
                            <a:avLst/>
                          </a:prstGeom>
                          <a:noFill/>
                          <a:ln w="9525">
                            <a:noFill/>
                          </a:ln>
                        </pic:spPr>
                      </pic:pic>
                    </a:graphicData>
                  </a:graphic>
                </wp:anchor>
              </w:drawing>
            </w:r>
            <w:r>
              <w:rPr>
                <w:rFonts w:hint="eastAsia" w:asciiTheme="minorEastAsia" w:hAnsiTheme="minorEastAsia" w:eastAsiaTheme="minorEastAsia" w:cstheme="minorEastAsia"/>
                <w:b w:val="0"/>
                <w:bCs/>
                <w:sz w:val="24"/>
                <w:szCs w:val="24"/>
              </w:rPr>
              <w:drawing>
                <wp:anchor distT="0" distB="0" distL="114300" distR="114300" simplePos="0" relativeHeight="251665408" behindDoc="0" locked="0" layoutInCell="1" allowOverlap="1">
                  <wp:simplePos x="0" y="0"/>
                  <wp:positionH relativeFrom="column">
                    <wp:posOffset>165735</wp:posOffset>
                  </wp:positionH>
                  <wp:positionV relativeFrom="paragraph">
                    <wp:posOffset>-17780</wp:posOffset>
                  </wp:positionV>
                  <wp:extent cx="1514475" cy="403860"/>
                  <wp:effectExtent l="0" t="0" r="9525" b="15240"/>
                  <wp:wrapNone/>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6" cstate="print"/>
                          <a:stretch>
                            <a:fillRect/>
                          </a:stretch>
                        </pic:blipFill>
                        <pic:spPr>
                          <a:xfrm>
                            <a:off x="0" y="0"/>
                            <a:ext cx="1514475" cy="40386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8"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雕刻字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字总高84cm,总长42cm</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anchor distT="0" distB="0" distL="114300" distR="114300" simplePos="0" relativeHeight="251662336" behindDoc="0" locked="0" layoutInCell="1" allowOverlap="1">
                  <wp:simplePos x="0" y="0"/>
                  <wp:positionH relativeFrom="column">
                    <wp:posOffset>709930</wp:posOffset>
                  </wp:positionH>
                  <wp:positionV relativeFrom="paragraph">
                    <wp:posOffset>134620</wp:posOffset>
                  </wp:positionV>
                  <wp:extent cx="579120" cy="1088390"/>
                  <wp:effectExtent l="0" t="0" r="11430" b="16510"/>
                  <wp:wrapNone/>
                  <wp:docPr id="1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7"/>
                          <pic:cNvPicPr>
                            <a:picLocks noChangeAspect="1"/>
                          </pic:cNvPicPr>
                        </pic:nvPicPr>
                        <pic:blipFill>
                          <a:blip r:embed="rId27" cstate="print"/>
                          <a:stretch>
                            <a:fillRect/>
                          </a:stretch>
                        </pic:blipFill>
                        <pic:spPr>
                          <a:xfrm>
                            <a:off x="0" y="0"/>
                            <a:ext cx="579120" cy="1088390"/>
                          </a:xfrm>
                          <a:prstGeom prst="rect">
                            <a:avLst/>
                          </a:prstGeom>
                          <a:noFill/>
                          <a:ln w="9525">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4"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画面1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7</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70*70cm高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PVC+压克力</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88720" cy="1082675"/>
                  <wp:effectExtent l="0" t="0" r="11430" b="3175"/>
                  <wp:docPr id="1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8"/>
                          <pic:cNvPicPr>
                            <a:picLocks noChangeAspect="1"/>
                          </pic:cNvPicPr>
                        </pic:nvPicPr>
                        <pic:blipFill>
                          <a:blip r:embed="rId28" cstate="print"/>
                          <a:stretch>
                            <a:fillRect/>
                          </a:stretch>
                        </pic:blipFill>
                        <pic:spPr>
                          <a:xfrm>
                            <a:off x="0" y="0"/>
                            <a:ext cx="1188720" cy="10826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9"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画面2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6</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70*70cm高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PVC+压克力</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72210" cy="1195705"/>
                  <wp:effectExtent l="0" t="0" r="8890" b="4445"/>
                  <wp:docPr id="1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0"/>
                          <pic:cNvPicPr>
                            <a:picLocks noChangeAspect="1"/>
                          </pic:cNvPicPr>
                        </pic:nvPicPr>
                        <pic:blipFill>
                          <a:blip r:embed="rId29" cstate="print"/>
                          <a:stretch>
                            <a:fillRect/>
                          </a:stretch>
                        </pic:blipFill>
                        <pic:spPr>
                          <a:xfrm>
                            <a:off x="0" y="0"/>
                            <a:ext cx="1172210" cy="1195705"/>
                          </a:xfrm>
                          <a:prstGeom prst="rect">
                            <a:avLst/>
                          </a:prstGeom>
                          <a:noFill/>
                          <a:ln w="9525">
                            <a:noFill/>
                          </a:ln>
                        </pic:spPr>
                      </pic:pic>
                    </a:graphicData>
                  </a:graphic>
                </wp:inline>
              </w:drawing>
            </w:r>
            <w:r>
              <w:rPr>
                <w:rFonts w:hint="eastAsia" w:asciiTheme="minorEastAsia" w:hAnsiTheme="minorEastAsia" w:eastAsiaTheme="minorEastAsia" w:cstheme="minorEastAsia"/>
                <w:b w:val="0"/>
                <w:bCs/>
                <w:i w:val="0"/>
                <w:color w:val="000000"/>
                <w:kern w:val="0"/>
                <w:sz w:val="24"/>
                <w:szCs w:val="24"/>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restart"/>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highlight w:val="none"/>
                <w:u w:val="none"/>
                <w:lang w:val="en-US" w:eastAsia="zh-CN" w:bidi="ar"/>
              </w:rPr>
              <w:t>大字高12cm,中字高9cm,小字高6.5cm</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895985" cy="669290"/>
                  <wp:effectExtent l="0" t="0" r="18415" b="16510"/>
                  <wp:docPr id="1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1"/>
                          <pic:cNvPicPr>
                            <a:picLocks noChangeAspect="1"/>
                          </pic:cNvPicPr>
                        </pic:nvPicPr>
                        <pic:blipFill>
                          <a:blip r:embed="rId30" cstate="print"/>
                          <a:stretch>
                            <a:fillRect/>
                          </a:stretch>
                        </pic:blipFill>
                        <pic:spPr>
                          <a:xfrm>
                            <a:off x="0" y="0"/>
                            <a:ext cx="895985" cy="6692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棕色雕刻字2</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23290" cy="642620"/>
                  <wp:effectExtent l="0" t="0" r="10160" b="5080"/>
                  <wp:docPr id="1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2"/>
                          <pic:cNvPicPr>
                            <a:picLocks noChangeAspect="1"/>
                          </pic:cNvPicPr>
                        </pic:nvPicPr>
                        <pic:blipFill>
                          <a:blip r:embed="rId31" cstate="print"/>
                          <a:stretch>
                            <a:fillRect/>
                          </a:stretch>
                        </pic:blipFill>
                        <pic:spPr>
                          <a:xfrm>
                            <a:off x="0" y="0"/>
                            <a:ext cx="923290" cy="6426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棕色雕刻字3</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5670" cy="629920"/>
                  <wp:effectExtent l="0" t="0" r="17780" b="17780"/>
                  <wp:docPr id="1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3"/>
                          <pic:cNvPicPr>
                            <a:picLocks noChangeAspect="1"/>
                          </pic:cNvPicPr>
                        </pic:nvPicPr>
                        <pic:blipFill>
                          <a:blip r:embed="rId32" cstate="print"/>
                          <a:stretch>
                            <a:fillRect/>
                          </a:stretch>
                        </pic:blipFill>
                        <pic:spPr>
                          <a:xfrm>
                            <a:off x="0" y="0"/>
                            <a:ext cx="915670" cy="6299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棕色雕刻字4</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4400" cy="635000"/>
                  <wp:effectExtent l="0" t="0" r="0" b="12700"/>
                  <wp:docPr id="2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4"/>
                          <pic:cNvPicPr>
                            <a:picLocks noChangeAspect="1"/>
                          </pic:cNvPicPr>
                        </pic:nvPicPr>
                        <pic:blipFill>
                          <a:blip r:embed="rId33" cstate="print"/>
                          <a:stretch>
                            <a:fillRect/>
                          </a:stretch>
                        </pic:blipFill>
                        <pic:spPr>
                          <a:xfrm>
                            <a:off x="0" y="0"/>
                            <a:ext cx="914400" cy="63500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棕色雕刻字5</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15670" cy="648335"/>
                  <wp:effectExtent l="0" t="0" r="17780" b="18415"/>
                  <wp:docPr id="21"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5"/>
                          <pic:cNvPicPr>
                            <a:picLocks noChangeAspect="1"/>
                          </pic:cNvPicPr>
                        </pic:nvPicPr>
                        <pic:blipFill>
                          <a:blip r:embed="rId34" cstate="print"/>
                          <a:stretch>
                            <a:fillRect/>
                          </a:stretch>
                        </pic:blipFill>
                        <pic:spPr>
                          <a:xfrm>
                            <a:off x="0" y="0"/>
                            <a:ext cx="915670" cy="6483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棕色雕刻字6</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42975" cy="676275"/>
                  <wp:effectExtent l="0" t="0" r="9525" b="9525"/>
                  <wp:docPr id="2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6"/>
                          <pic:cNvPicPr>
                            <a:picLocks noChangeAspect="1"/>
                          </pic:cNvPicPr>
                        </pic:nvPicPr>
                        <pic:blipFill>
                          <a:blip r:embed="rId35" cstate="print"/>
                          <a:stretch>
                            <a:fillRect/>
                          </a:stretch>
                        </pic:blipFill>
                        <pic:spPr>
                          <a:xfrm>
                            <a:off x="0" y="0"/>
                            <a:ext cx="942975" cy="6762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38</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棕色雕刻字7</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62660" cy="681355"/>
                  <wp:effectExtent l="0" t="0" r="8890" b="4445"/>
                  <wp:docPr id="2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7"/>
                          <pic:cNvPicPr>
                            <a:picLocks noChangeAspect="1"/>
                          </pic:cNvPicPr>
                        </pic:nvPicPr>
                        <pic:blipFill>
                          <a:blip r:embed="rId36" cstate="print"/>
                          <a:stretch>
                            <a:fillRect/>
                          </a:stretch>
                        </pic:blipFill>
                        <pic:spPr>
                          <a:xfrm>
                            <a:off x="0" y="0"/>
                            <a:ext cx="962660" cy="6813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39</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棕色雕刻字8</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9650" cy="681355"/>
                  <wp:effectExtent l="0" t="0" r="0" b="4445"/>
                  <wp:docPr id="2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8"/>
                          <pic:cNvPicPr>
                            <a:picLocks noChangeAspect="1"/>
                          </pic:cNvPicPr>
                        </pic:nvPicPr>
                        <pic:blipFill>
                          <a:blip r:embed="rId37" cstate="print"/>
                          <a:stretch>
                            <a:fillRect/>
                          </a:stretch>
                        </pic:blipFill>
                        <pic:spPr>
                          <a:xfrm>
                            <a:off x="0" y="0"/>
                            <a:ext cx="1009650" cy="68135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40</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棕色雕刻字9</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0760" cy="713740"/>
                  <wp:effectExtent l="0" t="0" r="8890" b="10160"/>
                  <wp:docPr id="2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9"/>
                          <pic:cNvPicPr>
                            <a:picLocks noChangeAspect="1"/>
                          </pic:cNvPicPr>
                        </pic:nvPicPr>
                        <pic:blipFill>
                          <a:blip r:embed="rId38" cstate="print"/>
                          <a:stretch>
                            <a:fillRect/>
                          </a:stretch>
                        </pic:blipFill>
                        <pic:spPr>
                          <a:xfrm>
                            <a:off x="0" y="0"/>
                            <a:ext cx="1000760" cy="71374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41</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棕色雕刻字10</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00760" cy="699135"/>
                  <wp:effectExtent l="0" t="0" r="8890" b="5715"/>
                  <wp:docPr id="2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0"/>
                          <pic:cNvPicPr>
                            <a:picLocks noChangeAspect="1"/>
                          </pic:cNvPicPr>
                        </pic:nvPicPr>
                        <pic:blipFill>
                          <a:blip r:embed="rId39" cstate="print"/>
                          <a:stretch>
                            <a:fillRect/>
                          </a:stretch>
                        </pic:blipFill>
                        <pic:spPr>
                          <a:xfrm>
                            <a:off x="0" y="0"/>
                            <a:ext cx="1000760" cy="69913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42</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棕色雕刻字11</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vMerge w:val="continue"/>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993140" cy="714375"/>
                  <wp:effectExtent l="0" t="0" r="16510" b="9525"/>
                  <wp:docPr id="2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1"/>
                          <pic:cNvPicPr>
                            <a:picLocks noChangeAspect="1"/>
                          </pic:cNvPicPr>
                        </pic:nvPicPr>
                        <pic:blipFill>
                          <a:blip r:embed="rId40" cstate="print"/>
                          <a:stretch>
                            <a:fillRect/>
                          </a:stretch>
                        </pic:blipFill>
                        <pic:spPr>
                          <a:xfrm>
                            <a:off x="0" y="0"/>
                            <a:ext cx="993140" cy="71437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43</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辅导员誓词（橙色）</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1.1*1.2米高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水晶字</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162685" cy="983615"/>
                  <wp:effectExtent l="0" t="0" r="18415" b="6985"/>
                  <wp:docPr id="3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8"/>
                          <pic:cNvPicPr>
                            <a:picLocks noChangeAspect="1"/>
                          </pic:cNvPicPr>
                        </pic:nvPicPr>
                        <pic:blipFill>
                          <a:blip r:embed="rId18" cstate="print"/>
                          <a:stretch>
                            <a:fillRect/>
                          </a:stretch>
                        </pic:blipFill>
                        <pic:spPr>
                          <a:xfrm>
                            <a:off x="0" y="0"/>
                            <a:ext cx="1162685" cy="98361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44</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白色字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长1.6*0.9米高</w:t>
            </w:r>
            <w:r>
              <w:rPr>
                <w:rFonts w:hint="eastAsia" w:asciiTheme="minorEastAsia" w:hAnsiTheme="minorEastAsia" w:eastAsiaTheme="minorEastAsia" w:cstheme="minorEastAsia"/>
                <w:b w:val="0"/>
                <w:bCs/>
                <w:i w:val="0"/>
                <w:color w:val="000000"/>
                <w:kern w:val="0"/>
                <w:sz w:val="24"/>
                <w:szCs w:val="24"/>
                <w:u w:val="none"/>
                <w:lang w:val="en-US" w:eastAsia="zh-CN" w:bidi="ar"/>
              </w:rPr>
              <w:br w:type="textWrapping"/>
            </w:r>
            <w:r>
              <w:rPr>
                <w:rFonts w:hint="eastAsia" w:asciiTheme="minorEastAsia" w:hAnsiTheme="minorEastAsia" w:eastAsiaTheme="minorEastAsia" w:cstheme="minorEastAsia"/>
                <w:b w:val="0"/>
                <w:bCs/>
                <w:i w:val="0"/>
                <w:color w:val="000000"/>
                <w:kern w:val="0"/>
                <w:sz w:val="24"/>
                <w:szCs w:val="24"/>
                <w:u w:val="none"/>
                <w:lang w:val="en-US" w:eastAsia="zh-CN" w:bidi="ar"/>
              </w:rPr>
              <w:t>pvcuv</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410335" cy="820420"/>
                  <wp:effectExtent l="0" t="0" r="18415" b="1778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41" cstate="print"/>
                          <a:stretch>
                            <a:fillRect/>
                          </a:stretch>
                        </pic:blipFill>
                        <pic:spPr>
                          <a:xfrm>
                            <a:off x="0" y="0"/>
                            <a:ext cx="1410335" cy="82042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7"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45</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塑料墙草</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1</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2.06*2.3米高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867410" cy="1024890"/>
                  <wp:effectExtent l="0" t="0" r="8890" b="3810"/>
                  <wp:docPr id="2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2"/>
                          <pic:cNvPicPr>
                            <a:picLocks noChangeAspect="1"/>
                          </pic:cNvPicPr>
                        </pic:nvPicPr>
                        <pic:blipFill>
                          <a:blip r:embed="rId42" cstate="print"/>
                          <a:stretch>
                            <a:fillRect/>
                          </a:stretch>
                        </pic:blipFill>
                        <pic:spPr>
                          <a:xfrm>
                            <a:off x="0" y="0"/>
                            <a:ext cx="867410" cy="102489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46</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防撞条</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长60cm*10cm高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543685" cy="308610"/>
                  <wp:effectExtent l="0" t="0" r="18415" b="15240"/>
                  <wp:docPr id="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7"/>
                          <pic:cNvPicPr>
                            <a:picLocks noChangeAspect="1"/>
                          </pic:cNvPicPr>
                        </pic:nvPicPr>
                        <pic:blipFill>
                          <a:blip r:embed="rId19" cstate="print"/>
                          <a:stretch>
                            <a:fillRect/>
                          </a:stretch>
                        </pic:blipFill>
                        <pic:spPr>
                          <a:xfrm>
                            <a:off x="0" y="0"/>
                            <a:ext cx="1543685" cy="30861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2" w:hRule="atLeast"/>
        </w:trPr>
        <w:tc>
          <w:tcPr>
            <w:tcW w:w="548" w:type="dxa"/>
            <w:noWrap w:val="0"/>
            <w:vAlign w:val="center"/>
          </w:tcPr>
          <w:p>
            <w:pPr>
              <w:keepNext w:val="0"/>
              <w:keepLines w:val="0"/>
              <w:widowControl/>
              <w:suppressLineNumbers w:val="0"/>
              <w:jc w:val="right"/>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47</w:t>
            </w:r>
          </w:p>
        </w:tc>
        <w:tc>
          <w:tcPr>
            <w:tcW w:w="2889"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kern w:val="0"/>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柱面字</w:t>
            </w:r>
          </w:p>
        </w:tc>
        <w:tc>
          <w:tcPr>
            <w:tcW w:w="1645"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套</w:t>
            </w:r>
          </w:p>
        </w:tc>
        <w:tc>
          <w:tcPr>
            <w:tcW w:w="1486"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color w:val="auto"/>
                <w:sz w:val="24"/>
                <w:szCs w:val="24"/>
                <w:highlight w:val="yellow"/>
                <w:lang w:val="en-US" w:eastAsia="zh-CN"/>
              </w:rPr>
            </w:pPr>
            <w:r>
              <w:rPr>
                <w:rFonts w:hint="eastAsia" w:asciiTheme="minorEastAsia" w:hAnsiTheme="minorEastAsia" w:eastAsiaTheme="minorEastAsia" w:cstheme="minorEastAsia"/>
                <w:b w:val="0"/>
                <w:bCs/>
                <w:i w:val="0"/>
                <w:color w:val="000000"/>
                <w:kern w:val="0"/>
                <w:sz w:val="24"/>
                <w:szCs w:val="24"/>
                <w:u w:val="none"/>
                <w:lang w:val="en-US" w:eastAsia="zh-CN" w:bidi="ar"/>
              </w:rPr>
              <w:t>4</w:t>
            </w:r>
          </w:p>
        </w:tc>
        <w:tc>
          <w:tcPr>
            <w:tcW w:w="4214"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highlight w:val="yellow"/>
                <w:u w:val="none"/>
                <w:lang w:val="en-US" w:eastAsia="zh-CN" w:bidi="ar"/>
              </w:rPr>
            </w:pPr>
            <w:r>
              <w:rPr>
                <w:rFonts w:hint="eastAsia" w:asciiTheme="minorEastAsia" w:hAnsiTheme="minorEastAsia" w:eastAsiaTheme="minorEastAsia" w:cstheme="minorEastAsia"/>
                <w:b w:val="0"/>
                <w:bCs/>
                <w:i w:val="0"/>
                <w:color w:val="000000"/>
                <w:kern w:val="0"/>
                <w:sz w:val="24"/>
                <w:szCs w:val="24"/>
                <w:u w:val="none"/>
                <w:lang w:val="en-US" w:eastAsia="zh-CN" w:bidi="ar"/>
              </w:rPr>
              <w:t>长54cm,20cm高</w:t>
            </w:r>
          </w:p>
        </w:tc>
        <w:tc>
          <w:tcPr>
            <w:tcW w:w="3392" w:type="dxa"/>
            <w:noWrap w:val="0"/>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b w:val="0"/>
                <w:bCs/>
                <w:sz w:val="24"/>
                <w:szCs w:val="24"/>
              </w:rPr>
              <w:drawing>
                <wp:inline distT="0" distB="0" distL="114300" distR="114300">
                  <wp:extent cx="1057275" cy="470535"/>
                  <wp:effectExtent l="0" t="0" r="9525" b="5715"/>
                  <wp:docPr id="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5"/>
                          <pic:cNvPicPr>
                            <a:picLocks noChangeAspect="1"/>
                          </pic:cNvPicPr>
                        </pic:nvPicPr>
                        <pic:blipFill>
                          <a:blip r:embed="rId43" cstate="print"/>
                          <a:stretch>
                            <a:fillRect/>
                          </a:stretch>
                        </pic:blipFill>
                        <pic:spPr>
                          <a:xfrm>
                            <a:off x="0" y="0"/>
                            <a:ext cx="1057275" cy="47053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58545" cy="441325"/>
                  <wp:effectExtent l="0" t="0" r="8255" b="15875"/>
                  <wp:docPr id="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pic:cNvPicPr>
                            <a:picLocks noChangeAspect="1"/>
                          </pic:cNvPicPr>
                        </pic:nvPicPr>
                        <pic:blipFill>
                          <a:blip r:embed="rId21" cstate="print"/>
                          <a:stretch>
                            <a:fillRect/>
                          </a:stretch>
                        </pic:blipFill>
                        <pic:spPr>
                          <a:xfrm>
                            <a:off x="0" y="0"/>
                            <a:ext cx="1058545" cy="441325"/>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38860" cy="454660"/>
                  <wp:effectExtent l="0" t="0" r="8890" b="2540"/>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22" cstate="print"/>
                          <a:stretch>
                            <a:fillRect/>
                          </a:stretch>
                        </pic:blipFill>
                        <pic:spPr>
                          <a:xfrm>
                            <a:off x="0" y="0"/>
                            <a:ext cx="1038860" cy="454660"/>
                          </a:xfrm>
                          <a:prstGeom prst="rect">
                            <a:avLst/>
                          </a:prstGeom>
                          <a:noFill/>
                          <a:ln w="9525">
                            <a:noFill/>
                          </a:ln>
                        </pic:spPr>
                      </pic:pic>
                    </a:graphicData>
                  </a:graphic>
                </wp:inline>
              </w:drawing>
            </w:r>
            <w:r>
              <w:rPr>
                <w:rFonts w:hint="eastAsia" w:asciiTheme="minorEastAsia" w:hAnsiTheme="minorEastAsia" w:eastAsiaTheme="minorEastAsia" w:cstheme="minorEastAsia"/>
                <w:b w:val="0"/>
                <w:bCs/>
                <w:sz w:val="24"/>
                <w:szCs w:val="24"/>
              </w:rPr>
              <w:drawing>
                <wp:inline distT="0" distB="0" distL="114300" distR="114300">
                  <wp:extent cx="1029335" cy="464820"/>
                  <wp:effectExtent l="0" t="0" r="18415" b="11430"/>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pic:cNvPicPr>
                            <a:picLocks noChangeAspect="1"/>
                          </pic:cNvPicPr>
                        </pic:nvPicPr>
                        <pic:blipFill>
                          <a:blip r:embed="rId23" cstate="print"/>
                          <a:stretch>
                            <a:fillRect/>
                          </a:stretch>
                        </pic:blipFill>
                        <pic:spPr>
                          <a:xfrm>
                            <a:off x="0" y="0"/>
                            <a:ext cx="1029335" cy="464820"/>
                          </a:xfrm>
                          <a:prstGeom prst="rect">
                            <a:avLst/>
                          </a:prstGeom>
                          <a:noFill/>
                          <a:ln w="9525">
                            <a:noFill/>
                          </a:ln>
                        </pic:spPr>
                      </pic:pic>
                    </a:graphicData>
                  </a:graphic>
                </wp:inline>
              </w:drawing>
            </w:r>
          </w:p>
        </w:tc>
      </w:tr>
      <w:bookmarkEnd w:id="1"/>
    </w:tbl>
    <w:p>
      <w:pPr>
        <w:pStyle w:val="13"/>
        <w:keepNext w:val="0"/>
        <w:keepLines w:val="0"/>
        <w:widowControl/>
        <w:suppressLineNumbers w:val="0"/>
        <w:spacing w:before="75" w:beforeAutospacing="0" w:after="75" w:afterAutospacing="0"/>
        <w:ind w:left="0" w:right="0" w:firstLine="0"/>
        <w:rPr>
          <w:rFonts w:hint="eastAsia"/>
          <w:lang w:val="en-US" w:eastAsia="zh-CN"/>
        </w:rPr>
      </w:pPr>
      <w:r>
        <w:rPr>
          <w:rFonts w:hint="eastAsia"/>
          <w:lang w:val="en-US" w:eastAsia="zh-CN"/>
        </w:rPr>
        <w:t>整体效果：</w:t>
      </w:r>
    </w:p>
    <w:p>
      <w:pPr>
        <w:pStyle w:val="13"/>
        <w:keepNext w:val="0"/>
        <w:keepLines w:val="0"/>
        <w:widowControl/>
        <w:suppressLineNumbers w:val="0"/>
        <w:spacing w:before="75" w:beforeAutospacing="0" w:after="75" w:afterAutospacing="0"/>
        <w:ind w:left="0" w:right="0" w:firstLine="0"/>
      </w:pPr>
      <w:r>
        <w:drawing>
          <wp:inline distT="0" distB="0" distL="114300" distR="114300">
            <wp:extent cx="9094470" cy="5568315"/>
            <wp:effectExtent l="0" t="0" r="11430" b="13335"/>
            <wp:docPr id="2" name="图片 8" descr="梅苑效果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梅苑效果图4"/>
                    <pic:cNvPicPr>
                      <a:picLocks noChangeAspect="1"/>
                    </pic:cNvPicPr>
                  </pic:nvPicPr>
                  <pic:blipFill>
                    <a:blip r:embed="rId44" cstate="print"/>
                    <a:srcRect b="8206"/>
                    <a:stretch>
                      <a:fillRect/>
                    </a:stretch>
                  </pic:blipFill>
                  <pic:spPr>
                    <a:xfrm>
                      <a:off x="0" y="0"/>
                      <a:ext cx="9094470" cy="5568315"/>
                    </a:xfrm>
                    <a:prstGeom prst="rect">
                      <a:avLst/>
                    </a:prstGeom>
                    <a:noFill/>
                    <a:ln w="9525">
                      <a:noFill/>
                    </a:ln>
                  </pic:spPr>
                </pic:pic>
              </a:graphicData>
            </a:graphic>
          </wp:inline>
        </w:drawing>
      </w:r>
    </w:p>
    <w:p>
      <w:pPr>
        <w:pStyle w:val="13"/>
        <w:keepNext w:val="0"/>
        <w:keepLines w:val="0"/>
        <w:widowControl/>
        <w:suppressLineNumbers w:val="0"/>
        <w:spacing w:before="75" w:beforeAutospacing="0" w:after="75" w:afterAutospacing="0"/>
        <w:ind w:left="0" w:right="0" w:firstLine="0"/>
      </w:pPr>
      <w:r>
        <w:rPr>
          <w:rFonts w:hint="eastAsia"/>
          <w:lang w:val="en-US" w:eastAsia="zh-CN"/>
        </w:rPr>
        <w:t xml:space="preserve"> </w:t>
      </w:r>
      <w:r>
        <w:drawing>
          <wp:inline distT="0" distB="0" distL="114300" distR="114300">
            <wp:extent cx="9018905" cy="6015355"/>
            <wp:effectExtent l="0" t="0" r="10795" b="4445"/>
            <wp:docPr id="34" name="图片 6" descr="梅苑效果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descr="梅苑效果图2"/>
                    <pic:cNvPicPr>
                      <a:picLocks noChangeAspect="1"/>
                    </pic:cNvPicPr>
                  </pic:nvPicPr>
                  <pic:blipFill>
                    <a:blip r:embed="rId45" cstate="print"/>
                    <a:stretch>
                      <a:fillRect/>
                    </a:stretch>
                  </pic:blipFill>
                  <pic:spPr>
                    <a:xfrm>
                      <a:off x="0" y="0"/>
                      <a:ext cx="9018905" cy="6015355"/>
                    </a:xfrm>
                    <a:prstGeom prst="rect">
                      <a:avLst/>
                    </a:prstGeom>
                    <a:noFill/>
                    <a:ln w="9525">
                      <a:noFill/>
                    </a:ln>
                  </pic:spPr>
                </pic:pic>
              </a:graphicData>
            </a:graphic>
          </wp:inline>
        </w:drawing>
      </w:r>
    </w:p>
    <w:p>
      <w:pPr>
        <w:pStyle w:val="14"/>
      </w:pPr>
    </w:p>
    <w:p>
      <w:pPr>
        <w:pStyle w:val="15"/>
      </w:pPr>
    </w:p>
    <w:p>
      <w:pPr>
        <w:pStyle w:val="15"/>
      </w:pPr>
      <w:r>
        <w:drawing>
          <wp:inline distT="0" distB="0" distL="114300" distR="114300">
            <wp:extent cx="8251190" cy="5520055"/>
            <wp:effectExtent l="0" t="0" r="16510" b="4445"/>
            <wp:docPr id="33" name="图片 5" descr="梅苑效果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descr="梅苑效果图1"/>
                    <pic:cNvPicPr>
                      <a:picLocks noChangeAspect="1"/>
                    </pic:cNvPicPr>
                  </pic:nvPicPr>
                  <pic:blipFill>
                    <a:blip r:embed="rId46" cstate="print"/>
                    <a:stretch>
                      <a:fillRect/>
                    </a:stretch>
                  </pic:blipFill>
                  <pic:spPr>
                    <a:xfrm>
                      <a:off x="0" y="0"/>
                      <a:ext cx="8251190" cy="5520055"/>
                    </a:xfrm>
                    <a:prstGeom prst="rect">
                      <a:avLst/>
                    </a:prstGeom>
                    <a:noFill/>
                    <a:ln w="9525">
                      <a:noFill/>
                    </a:ln>
                  </pic:spPr>
                </pic:pic>
              </a:graphicData>
            </a:graphic>
          </wp:inline>
        </w:drawing>
      </w:r>
      <w:r>
        <w:rPr>
          <w:rFonts w:hint="eastAsia"/>
          <w:lang w:val="en-US" w:eastAsia="zh-CN"/>
        </w:rPr>
        <w:t xml:space="preserve">  </w:t>
      </w:r>
      <w:r>
        <w:drawing>
          <wp:inline distT="0" distB="0" distL="114300" distR="114300">
            <wp:extent cx="8910320" cy="5951220"/>
            <wp:effectExtent l="0" t="0" r="5080" b="11430"/>
            <wp:docPr id="10" name="图片 7" descr="梅苑效果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梅苑效果图3"/>
                    <pic:cNvPicPr>
                      <a:picLocks noChangeAspect="1"/>
                    </pic:cNvPicPr>
                  </pic:nvPicPr>
                  <pic:blipFill>
                    <a:blip r:embed="rId47" cstate="print"/>
                    <a:stretch>
                      <a:fillRect/>
                    </a:stretch>
                  </pic:blipFill>
                  <pic:spPr>
                    <a:xfrm>
                      <a:off x="0" y="0"/>
                      <a:ext cx="8910320" cy="5951220"/>
                    </a:xfrm>
                    <a:prstGeom prst="rect">
                      <a:avLst/>
                    </a:prstGeom>
                    <a:noFill/>
                    <a:ln w="9525">
                      <a:noFill/>
                    </a:ln>
                  </pic:spPr>
                </pic:pic>
              </a:graphicData>
            </a:graphic>
          </wp:inline>
        </w:drawing>
      </w:r>
    </w:p>
    <w:p>
      <w:pPr>
        <w:pStyle w:val="15"/>
        <w:rPr>
          <w:rFonts w:hint="default"/>
          <w:lang w:val="en-US" w:eastAsia="zh-CN"/>
        </w:rPr>
        <w:sectPr>
          <w:pgSz w:w="16840" w:h="11907" w:orient="landscape"/>
          <w:pgMar w:top="1134" w:right="1134" w:bottom="1315" w:left="1134" w:header="567" w:footer="567" w:gutter="0"/>
          <w:cols w:space="0" w:num="1"/>
          <w:rtlGutter w:val="0"/>
          <w:docGrid w:linePitch="312" w:charSpace="0"/>
        </w:sectPr>
      </w:pPr>
      <w:r>
        <w:drawing>
          <wp:inline distT="0" distB="0" distL="114300" distR="114300">
            <wp:extent cx="8956040" cy="5998210"/>
            <wp:effectExtent l="0" t="0" r="16510" b="2540"/>
            <wp:docPr id="11" name="图片 9" descr="梅苑效果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梅苑效果图5"/>
                    <pic:cNvPicPr>
                      <a:picLocks noChangeAspect="1"/>
                    </pic:cNvPicPr>
                  </pic:nvPicPr>
                  <pic:blipFill>
                    <a:blip r:embed="rId48" cstate="print"/>
                    <a:stretch>
                      <a:fillRect/>
                    </a:stretch>
                  </pic:blipFill>
                  <pic:spPr>
                    <a:xfrm>
                      <a:off x="0" y="0"/>
                      <a:ext cx="8956040" cy="5998210"/>
                    </a:xfrm>
                    <a:prstGeom prst="rect">
                      <a:avLst/>
                    </a:prstGeom>
                    <a:noFill/>
                    <a:ln w="9525">
                      <a:noFill/>
                    </a:ln>
                  </pic:spPr>
                </pic:pic>
              </a:graphicData>
            </a:graphic>
          </wp:inline>
        </w:drawing>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b/>
          <w:bCs/>
          <w:spacing w:val="0"/>
          <w:sz w:val="24"/>
          <w:szCs w:val="24"/>
          <w:lang w:eastAsia="zh-CN"/>
        </w:rPr>
        <w:t>三</w:t>
      </w:r>
      <w:r>
        <w:rPr>
          <w:rFonts w:hint="eastAsia" w:ascii="宋体" w:hAnsi="宋体" w:eastAsia="宋体" w:cs="宋体"/>
          <w:b/>
          <w:bCs/>
          <w:spacing w:val="0"/>
          <w:sz w:val="24"/>
          <w:szCs w:val="24"/>
        </w:rPr>
        <w:t>、商务条件</w:t>
      </w:r>
      <w:r>
        <w:rPr>
          <w:rStyle w:val="23"/>
          <w:rFonts w:hint="eastAsia" w:ascii="宋体" w:hAnsi="宋体" w:eastAsia="宋体" w:cs="宋体"/>
          <w:spacing w:val="0"/>
          <w:sz w:val="24"/>
          <w:szCs w:val="24"/>
        </w:rPr>
        <w:t>（以“★”标示的内容为不允许负偏离的实质性要求）</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rStyle w:val="23"/>
          <w:rFonts w:hint="eastAsia" w:ascii="宋体" w:hAnsi="宋体" w:eastAsia="宋体" w:cs="宋体"/>
          <w:spacing w:val="0"/>
          <w:sz w:val="24"/>
          <w:szCs w:val="24"/>
          <w:lang w:eastAsia="zh-CN"/>
        </w:rPr>
      </w:pPr>
      <w:r>
        <w:rPr>
          <w:rStyle w:val="23"/>
          <w:rFonts w:hint="eastAsia" w:ascii="宋体" w:hAnsi="宋体" w:eastAsia="宋体" w:cs="宋体"/>
          <w:spacing w:val="0"/>
          <w:sz w:val="24"/>
          <w:szCs w:val="24"/>
        </w:rPr>
        <w:t>包：1</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rPr>
        <w:t>1、交付地点：</w:t>
      </w:r>
      <w:r>
        <w:rPr>
          <w:rStyle w:val="23"/>
          <w:rFonts w:hint="eastAsia" w:ascii="宋体" w:hAnsi="宋体" w:eastAsia="宋体" w:cs="宋体"/>
          <w:spacing w:val="0"/>
          <w:sz w:val="24"/>
          <w:szCs w:val="24"/>
          <w:lang w:eastAsia="zh-CN"/>
        </w:rPr>
        <w:t>湄洲湾职业技术学院（</w:t>
      </w:r>
      <w:r>
        <w:rPr>
          <w:rStyle w:val="23"/>
          <w:rFonts w:hint="eastAsia" w:ascii="宋体" w:hAnsi="宋体" w:eastAsia="宋体" w:cs="宋体"/>
          <w:spacing w:val="0"/>
          <w:sz w:val="24"/>
          <w:szCs w:val="24"/>
        </w:rPr>
        <w:t>采购人指定地点</w:t>
      </w:r>
      <w:r>
        <w:rPr>
          <w:rStyle w:val="23"/>
          <w:rFonts w:hint="eastAsia" w:ascii="宋体" w:hAnsi="宋体" w:eastAsia="宋体" w:cs="宋体"/>
          <w:spacing w:val="0"/>
          <w:sz w:val="24"/>
          <w:szCs w:val="24"/>
          <w:lang w:eastAsia="zh-CN"/>
        </w:rPr>
        <w:t>）</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lang w:eastAsia="zh-CN"/>
        </w:rPr>
        <w:t>2、交付时间：合同签订后 (</w:t>
      </w:r>
      <w:r>
        <w:rPr>
          <w:rStyle w:val="23"/>
          <w:rFonts w:hint="eastAsia" w:ascii="宋体" w:hAnsi="宋体" w:eastAsia="宋体" w:cs="宋体"/>
          <w:spacing w:val="0"/>
          <w:sz w:val="24"/>
          <w:szCs w:val="24"/>
          <w:lang w:val="en-US" w:eastAsia="zh-CN"/>
        </w:rPr>
        <w:t>2</w:t>
      </w:r>
      <w:r>
        <w:rPr>
          <w:rStyle w:val="23"/>
          <w:rFonts w:hint="eastAsia" w:ascii="宋体" w:hAnsi="宋体" w:eastAsia="宋体" w:cs="宋体"/>
          <w:spacing w:val="0"/>
          <w:sz w:val="24"/>
          <w:szCs w:val="24"/>
          <w:lang w:eastAsia="zh-CN"/>
        </w:rPr>
        <w:t>0) 天内交货</w:t>
      </w:r>
      <w:r>
        <w:rPr>
          <w:rStyle w:val="23"/>
          <w:rFonts w:hint="eastAsia" w:ascii="宋体" w:hAnsi="宋体" w:eastAsia="宋体" w:cs="宋体"/>
          <w:spacing w:val="0"/>
          <w:sz w:val="24"/>
          <w:szCs w:val="24"/>
          <w:lang w:eastAsia="zh-CN"/>
        </w:rPr>
        <w:br w:type="textWrapping"/>
      </w:r>
      <w:r>
        <w:rPr>
          <w:rStyle w:val="23"/>
          <w:rFonts w:hint="eastAsia" w:ascii="宋体" w:hAnsi="宋体" w:eastAsia="宋体" w:cs="宋体"/>
          <w:spacing w:val="0"/>
          <w:sz w:val="24"/>
          <w:szCs w:val="24"/>
          <w:lang w:eastAsia="zh-CN"/>
        </w:rPr>
        <w:t>3、交付条件：所有货物全新原厂原包装、安装调试竣工经验收合格交付使用</w:t>
      </w:r>
      <w:r>
        <w:rPr>
          <w:rStyle w:val="23"/>
          <w:rFonts w:hint="eastAsia" w:ascii="宋体" w:hAnsi="宋体" w:eastAsia="宋体" w:cs="宋体"/>
          <w:spacing w:val="0"/>
          <w:sz w:val="24"/>
          <w:szCs w:val="24"/>
          <w:lang w:eastAsia="zh-CN"/>
        </w:rPr>
        <w:br w:type="textWrapping"/>
      </w:r>
      <w:r>
        <w:rPr>
          <w:rStyle w:val="23"/>
          <w:rFonts w:hint="eastAsia" w:ascii="宋体" w:hAnsi="宋体" w:eastAsia="宋体" w:cs="宋体"/>
          <w:spacing w:val="0"/>
          <w:sz w:val="24"/>
          <w:szCs w:val="24"/>
          <w:lang w:eastAsia="zh-CN"/>
        </w:rPr>
        <w:t>4、是否收取履约保证金：否</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highlight w:val="none"/>
        </w:rPr>
      </w:pPr>
      <w:r>
        <w:rPr>
          <w:rStyle w:val="23"/>
          <w:rFonts w:hint="eastAsia" w:ascii="宋体" w:hAnsi="宋体" w:eastAsia="宋体" w:cs="宋体"/>
          <w:spacing w:val="0"/>
          <w:sz w:val="24"/>
          <w:szCs w:val="24"/>
        </w:rPr>
        <w:t>5、是否邀请投标人参与验收：否</w:t>
      </w:r>
      <w:r>
        <w:rPr>
          <w:rStyle w:val="23"/>
          <w:rFonts w:hint="eastAsia" w:ascii="宋体" w:hAnsi="宋体" w:eastAsia="宋体" w:cs="宋体"/>
          <w:spacing w:val="0"/>
          <w:sz w:val="24"/>
          <w:szCs w:val="24"/>
        </w:rPr>
        <w:br w:type="textWrapping"/>
      </w:r>
      <w:r>
        <w:rPr>
          <w:rStyle w:val="23"/>
          <w:rFonts w:hint="eastAsia" w:ascii="宋体" w:hAnsi="宋体" w:eastAsia="宋体" w:cs="宋体"/>
          <w:spacing w:val="0"/>
          <w:sz w:val="24"/>
          <w:szCs w:val="24"/>
          <w:highlight w:val="none"/>
        </w:rPr>
        <w:t>6、验收方式数据表格</w:t>
      </w:r>
    </w:p>
    <w:tbl>
      <w:tblPr>
        <w:tblStyle w:val="20"/>
        <w:tblW w:w="966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315"/>
        <w:gridCol w:w="835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31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ind w:left="218" w:leftChars="104" w:firstLine="0" w:firstLineChars="0"/>
              <w:jc w:val="left"/>
              <w:textAlignment w:val="auto"/>
              <w:rPr>
                <w:highlight w:val="none"/>
              </w:rPr>
            </w:pPr>
            <w:r>
              <w:rPr>
                <w:rFonts w:ascii="宋体" w:hAnsi="宋体" w:eastAsia="宋体" w:cs="宋体"/>
                <w:kern w:val="0"/>
                <w:sz w:val="24"/>
                <w:szCs w:val="24"/>
                <w:highlight w:val="none"/>
                <w:lang w:val="en-US" w:eastAsia="zh-CN" w:bidi="ar"/>
              </w:rPr>
              <w:t>验收期次</w:t>
            </w:r>
          </w:p>
        </w:tc>
        <w:tc>
          <w:tcPr>
            <w:tcW w:w="835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131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1</w:t>
            </w:r>
          </w:p>
        </w:tc>
        <w:tc>
          <w:tcPr>
            <w:tcW w:w="835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highlight w:val="none"/>
              </w:rPr>
            </w:pPr>
            <w:r>
              <w:rPr>
                <w:rFonts w:ascii="宋体" w:hAnsi="宋体" w:eastAsia="宋体" w:cs="宋体"/>
                <w:kern w:val="0"/>
                <w:sz w:val="24"/>
                <w:szCs w:val="24"/>
                <w:highlight w:val="none"/>
                <w:lang w:val="en-US" w:eastAsia="zh-CN" w:bidi="ar"/>
              </w:rPr>
              <w:t>1、采购人将根据招标文件要求、成交人所供货物的规格和产品标准及我国相关技术规范和技术标准进行验收。 2、结构、外观、制造、装配材料及工艺要求应符合采购要求及响应文件承诺，采购人在验收时如发现不符合采购要求的，采购人有权要求成交人进行换货或退货。 3、验收时成交人代表必须在场，验收所产生的一切费用由成交人承担。</w:t>
            </w:r>
          </w:p>
        </w:tc>
      </w:tr>
    </w:tbl>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Style w:val="23"/>
          <w:rFonts w:hint="eastAsia" w:ascii="宋体" w:hAnsi="宋体" w:eastAsia="宋体" w:cs="宋体"/>
          <w:spacing w:val="0"/>
          <w:kern w:val="2"/>
          <w:sz w:val="24"/>
          <w:szCs w:val="24"/>
          <w:highlight w:val="none"/>
          <w:lang w:val="en-US" w:eastAsia="zh-CN" w:bidi="ar-SA"/>
        </w:rPr>
      </w:pPr>
      <w:r>
        <w:rPr>
          <w:rStyle w:val="23"/>
          <w:rFonts w:hint="eastAsia" w:ascii="宋体" w:hAnsi="宋体" w:eastAsia="宋体" w:cs="宋体"/>
          <w:spacing w:val="0"/>
          <w:kern w:val="2"/>
          <w:sz w:val="24"/>
          <w:szCs w:val="24"/>
          <w:highlight w:val="none"/>
          <w:lang w:val="en-US" w:eastAsia="zh-CN" w:bidi="ar-SA"/>
        </w:rPr>
        <w:t>7、支付方式数据表格</w:t>
      </w:r>
    </w:p>
    <w:tbl>
      <w:tblPr>
        <w:tblStyle w:val="20"/>
        <w:tblW w:w="968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182"/>
        <w:gridCol w:w="1533"/>
        <w:gridCol w:w="696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118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支付期次</w:t>
            </w:r>
          </w:p>
        </w:tc>
        <w:tc>
          <w:tcPr>
            <w:tcW w:w="153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支付比例(%)</w:t>
            </w:r>
          </w:p>
        </w:tc>
        <w:tc>
          <w:tcPr>
            <w:tcW w:w="69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741" w:hRule="atLeast"/>
          <w:tblCellSpacing w:w="0" w:type="dxa"/>
        </w:trPr>
        <w:tc>
          <w:tcPr>
            <w:tcW w:w="1182"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w:t>
            </w:r>
          </w:p>
        </w:tc>
        <w:tc>
          <w:tcPr>
            <w:tcW w:w="1533"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100</w:t>
            </w:r>
          </w:p>
        </w:tc>
        <w:tc>
          <w:tcPr>
            <w:tcW w:w="696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400" w:lineRule="exact"/>
              <w:jc w:val="left"/>
              <w:textAlignment w:val="auto"/>
              <w:rPr>
                <w:rFonts w:ascii="宋体" w:hAnsi="宋体" w:eastAsia="宋体" w:cs="宋体"/>
                <w:kern w:val="0"/>
                <w:sz w:val="24"/>
                <w:szCs w:val="24"/>
                <w:highlight w:val="none"/>
                <w:lang w:val="en-US" w:eastAsia="zh-CN" w:bidi="ar"/>
              </w:rPr>
            </w:pPr>
            <w:r>
              <w:rPr>
                <w:rFonts w:ascii="宋体" w:hAnsi="宋体" w:eastAsia="宋体" w:cs="宋体"/>
                <w:kern w:val="0"/>
                <w:sz w:val="24"/>
                <w:szCs w:val="24"/>
                <w:highlight w:val="none"/>
                <w:lang w:val="en-US" w:eastAsia="zh-CN" w:bidi="ar"/>
              </w:rPr>
              <w:t>货到安装并验收合格后付款，采购人收到中标方开具的正式发票后一次性支付合同总金额100%。</w:t>
            </w:r>
          </w:p>
        </w:tc>
      </w:tr>
    </w:tbl>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8、货物包装方式</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8.1包装：货物交货时应按国家有关标准要求进行包装。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8.2方式：包装必须与运输方式相适应，包装方式的确定及包装费用均由中标人负责；由于不适当的包装而造成货物在运输过程中有任何损坏由中标人负责。</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注：包装应足以承受整个过程中的运输、转运、装卸、储存等，充分考虑到运输途中的各种情况(如暴露于恶劣气候等)和项目所在地的气候特点，以及露天存放的需要。</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9、安装、调试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9.1中标人应在签订合同时，向采购人提供安装、调试的进度计划表。</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9.2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9.3中标人负责组织专业技术人员进行设备调试，并向采购人安排的工作人员介绍设备功能。</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shd w:val="clear" w:color="auto" w:fill="FFFFFF"/>
        </w:rPr>
        <w:t>9.4设备安装、调试的完工期须按照合同的规定执行。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rStyle w:val="23"/>
          <w:rFonts w:hint="eastAsia" w:ascii="宋体" w:hAnsi="宋体" w:eastAsia="宋体" w:cs="宋体"/>
          <w:sz w:val="21"/>
          <w:szCs w:val="22"/>
          <w:shd w:val="clear" w:color="auto" w:fill="FFFFFF"/>
        </w:rPr>
      </w:pPr>
      <w:r>
        <w:rPr>
          <w:rStyle w:val="23"/>
          <w:rFonts w:hint="eastAsia" w:ascii="宋体" w:hAnsi="宋体" w:eastAsia="宋体" w:cs="宋体"/>
          <w:sz w:val="21"/>
          <w:szCs w:val="22"/>
          <w:shd w:val="clear" w:color="auto" w:fill="FFFFFF"/>
        </w:rPr>
        <w:t>10、</w:t>
      </w:r>
      <w:r>
        <w:rPr>
          <w:rStyle w:val="23"/>
          <w:rFonts w:hint="eastAsia" w:ascii="宋体" w:hAnsi="宋体" w:eastAsia="宋体" w:cs="宋体"/>
          <w:sz w:val="24"/>
          <w:szCs w:val="24"/>
          <w:shd w:val="clear" w:color="auto" w:fill="FFFFFF"/>
        </w:rPr>
        <w:t>售后服务要求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10.1.自现场交验使用之日起，免费质量保修期为验收合格后壹年(招标一览表中有特殊要求的除外，厂家或国家有更长免费质量保修期限规定的从其规定)。若在质保期间发生故障，投标人必须及时响应，并在8小时内派技术人员到达现场，提供免费技术服务，并免费提供所有维修配件。如保修期内同一故障发生三次，或在两个月内无法修复，中标人无条件换货。免费保修期满前1个月内中标人应负责对货物进行一次免费全面检查，如发现潜在问题，应负责排除，保证货物正常运行。质保期外需更换配件时，只收取配件的成本费，所有维修，均不收取服务费。若中标人未能及时响应并解决的，将直接从质保金进行相应扣款，每出现一次扣人民币1000元。</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10.2.质保期后，中标人应提供配件、技术咨询、有偿维修等售后保障。出现故障需上门服务时，投标人应及时响应，并在8小时内派技术人员到现场解决故障。质保期后，配件的价格以投标文件中所列价格核收。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10.3.中标人必须负责对设备使用维护人员进行设备安装、调试、操作、使用、维护及结构原理等方面的培训，并承担由此产生的一切费用。</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11、安装调试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11.1、设备运抵安装现场后，招标人将与中标人共同开箱验收，设备包装应按国家标准执行，关键设备应原包装：供货时，交使用单位对包装状况及数量作现场验收，由于包装不善引起的货物锈蚀、损坏和损失均由供货方承担，每件包装内应附质量合格证和装箱单。如中标人届时不派人来，则验收结果应以招标人和当地商检人员的验收报告为最终验收结果。验收时发现短缺、破损，招标人有权要求投标人立即补发和负责更换。中标人应提供主要设备厂家供货证明。</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rPr>
        <w:t>11.2、安装和调试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 合同签订后，按招标人规定的时间内全部设备运到用户要求的安装地点，要求在交货的同时提供关于设备安装、调试、测试、运行维护方面齐全有效的技术资料；在规定的时间内所有设备安装、调试完毕。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a) 安装调试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中标人负责系统安装调试工作，提供系统安装所需的安装材料，向招标人提交使用可靠、运行稳定系统。</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b) 测试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(1)系统安装测试，全部由投标人负责，测试工具由投标人提供的，招标人予以协助配合。</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(2)系统测试由投标人负责，投标人测试前应提出完整的测试计划并经招标人确认，包括测试的内容、项目、指标、方法和进度，并提供相应的测试工具。测试过程，投标人有责任对招标人的技术人员提出的问题作出解答。测试应进行详细记录，系统测试结束后，由投标人的技术人员签字后交给招标人验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11.3、技术培训</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1）中标人应有计划的对招标人的业务、维护、操作及管理人员进行培训。中标人应制订招标人人员的培训计划和内容。因中标人的原因导致培训不能按期完成或未达到预期培训目标，招标人有权要求中标人重新进行培训，所有费用应由中标人承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（2）培训内容要求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05"/>
        <w:textAlignment w:val="auto"/>
      </w:pPr>
      <w:r>
        <w:rPr>
          <w:rFonts w:hint="eastAsia" w:ascii="宋体" w:hAnsi="宋体" w:eastAsia="宋体" w:cs="宋体"/>
          <w:sz w:val="24"/>
          <w:szCs w:val="24"/>
        </w:rPr>
        <w:t>中标人应提出详细的培训方案和培训计划，以确保招标人的相关人员能管理、操作、维护本系统、以及系统正常运行和相关业务的顺利发展。中标人应对招标人操作、维护、管理人员进行全面的技术培训。培训内容应包括本项目中全部应用系统使用培训。</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11.4、技术资料要求</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厂家长期提供技术支持，并免费提供所有公开发表的应用文献和最新仪器有关资料、通讯和用户论文集等。免费提供仪器使用手册、培训教材、应用文章等。</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卖方应向买方提供不少于以下列明的中文(或英文)技术资料，在设备交货时随机提供；并提供货物原装品 牌的证明文件或资料，其费用应包括在报价内。若提供的技术资料为外文原版，应提供其中文翻译件，中文技术资料文件作为技术资料主件。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1) 出厂明细表(装箱单)；</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2) 出厂检验报告、合格证书及生产厂家供货确认函；</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3) 产品技术说明书；</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4) 安装手册(含所需的软件安装序列号)；操作手册(中文)；维修手册；</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5) 相关文件、设备相应的软件和光盘；</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6) 合同中要求的其它文件资料。</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Style w:val="23"/>
          <w:rFonts w:hint="eastAsia" w:ascii="宋体" w:hAnsi="宋体" w:eastAsia="宋体" w:cs="宋体"/>
        </w:rPr>
        <w:t>11.5、特殊、专用工具及备品备件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中标人应向采购人提供产品安装和维修所需的特殊、专用工具(如果有的话)及清单(清单附在投标文件中)和中文说明书，其费用包括在投标总价内。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360"/>
        <w:textAlignment w:val="auto"/>
      </w:pPr>
      <w:r>
        <w:rPr>
          <w:rFonts w:hint="eastAsia" w:ascii="宋体" w:hAnsi="宋体" w:eastAsia="宋体" w:cs="宋体"/>
          <w:sz w:val="24"/>
          <w:szCs w:val="24"/>
        </w:rPr>
        <w:t>中标人应向采购人提供保质期内所需的备品备件及清单(清单附在投标文件中)，其费用包括在投标总价内。</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pPr>
      <w:r>
        <w:rPr>
          <w:rStyle w:val="23"/>
          <w:rFonts w:hint="eastAsia" w:ascii="宋体" w:hAnsi="宋体" w:eastAsia="宋体" w:cs="宋体"/>
          <w:shd w:val="clear" w:color="auto" w:fill="FFFFFF"/>
        </w:rPr>
        <w:t>12、验收条件：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pPr>
      <w:r>
        <w:rPr>
          <w:rFonts w:hint="eastAsia" w:ascii="宋体" w:hAnsi="宋体" w:eastAsia="宋体" w:cs="宋体"/>
          <w:sz w:val="24"/>
          <w:szCs w:val="24"/>
        </w:rPr>
        <w:t>12.1、验收时中标人代表必须在场，采购人将根据招标文件要求、对中标人所供货物的规格和产品标准及符合我国相关技术规范和技术标准进行验收。</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highlight w:val="none"/>
        </w:rPr>
      </w:pPr>
      <w:r>
        <w:rPr>
          <w:rFonts w:hint="eastAsia" w:ascii="宋体" w:hAnsi="宋体" w:eastAsia="宋体" w:cs="宋体"/>
          <w:sz w:val="24"/>
          <w:szCs w:val="24"/>
        </w:rPr>
        <w:t>12.2、结构、外观、制造、装配材料及工艺要求应符合招标采购要求及投标文件承诺，</w:t>
      </w:r>
      <w:r>
        <w:rPr>
          <w:rFonts w:hint="eastAsia" w:ascii="宋体" w:hAnsi="宋体" w:eastAsia="宋体" w:cs="宋体"/>
          <w:sz w:val="24"/>
          <w:szCs w:val="24"/>
          <w:highlight w:val="none"/>
        </w:rPr>
        <w:t>采购人在验收时如发现不符合招标采购要求的，采购人有权要求中标人进行换货或退货。</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color w:val="auto"/>
          <w:highlight w:val="none"/>
        </w:rPr>
      </w:pPr>
      <w:r>
        <w:rPr>
          <w:rStyle w:val="23"/>
          <w:rFonts w:hint="eastAsia" w:ascii="宋体" w:hAnsi="宋体" w:eastAsia="宋体" w:cs="宋体"/>
          <w:color w:val="auto"/>
          <w:highlight w:val="none"/>
          <w:shd w:val="clear" w:color="auto" w:fill="FFFFFF"/>
        </w:rPr>
        <w:t>13、违约责任</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13.1.因中标人原因造成采购合同无法按时签订的，视为中标人违约，对采购人造成的损失的，中标人还需另行支付相应的赔偿。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13.2.在签定采购合同之后，有下列情形之一的，将视为中标人违约，采购人有权从履约保证金中取得补偿（如有提交履约保证金的），并可进一步提出追索和索赔：</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13.2.1 签定合同后，中标人未按合同规定供应货物和提供服务的；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13.2.2 中标人未按合同规定的质量要求交货的，采购人有权拒收，由此造成的直接损失和间接损失由中标人赔偿；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13.2.3中标人逾期交货（包括整修、返工、补交或由需方提出更改、中标人承诺，但未在承诺的工期内完成等）的，每逾期一天，按合同价格的</w:t>
      </w:r>
      <w:r>
        <w:rPr>
          <w:rFonts w:hint="eastAsia" w:ascii="宋体" w:hAnsi="宋体" w:eastAsia="宋体" w:cs="宋体"/>
          <w:color w:val="auto"/>
          <w:sz w:val="24"/>
          <w:szCs w:val="24"/>
          <w:highlight w:val="none"/>
          <w:lang w:eastAsia="zh-CN"/>
        </w:rPr>
        <w:t>百</w:t>
      </w:r>
      <w:r>
        <w:rPr>
          <w:rFonts w:hint="eastAsia" w:ascii="宋体" w:hAnsi="宋体" w:eastAsia="宋体" w:cs="宋体"/>
          <w:color w:val="auto"/>
          <w:sz w:val="24"/>
          <w:szCs w:val="24"/>
          <w:highlight w:val="none"/>
        </w:rPr>
        <w:t>分之</w:t>
      </w:r>
      <w:r>
        <w:rPr>
          <w:rFonts w:hint="eastAsia" w:ascii="宋体" w:hAnsi="宋体" w:eastAsia="宋体" w:cs="宋体"/>
          <w:color w:val="auto"/>
          <w:sz w:val="24"/>
          <w:szCs w:val="24"/>
          <w:highlight w:val="none"/>
          <w:lang w:eastAsia="zh-CN"/>
        </w:rPr>
        <w:t>一</w:t>
      </w:r>
      <w:r>
        <w:rPr>
          <w:rFonts w:hint="eastAsia" w:ascii="宋体" w:hAnsi="宋体" w:eastAsia="宋体" w:cs="宋体"/>
          <w:color w:val="auto"/>
          <w:sz w:val="24"/>
          <w:szCs w:val="24"/>
          <w:highlight w:val="none"/>
        </w:rPr>
        <w:t>偿付违约金；</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13.2.4中标人不能交货或不能完成合同的（不可抗力因素造成的除外），中标人应双倍返还买方支付的定金；</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13.2.5中标人未能按合同规定履行其义务的；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13.2.6在签定采购合同之后，中标人要求解除合同的；</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13.3.本合同所有设备、材料的制造、安装及服务，都必须由中标人自己或在投标文件中明确的单位承担，不得以任何名义和理由进行分包或转包。如有发现，视为中标人违约，采购人有权单方终止合同，对采购人造成损失的，需另行支付相应的赔偿。</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13.4.中标人履行义务不符合合同约定时，采购人有权扣减尾款。</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13.5.因中标人原因发生重大质量事故，除依约承担赔偿责任外，还将按有关质量管理办法规定执行。同时，采购人有权保留更换中标人的权利，并报相关行政主管部门处罚。</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13.6.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13.7.在明确违约责任后，中标人应在接到书面通知书起七天内支付违约金、赔偿金等。</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left="0" w:firstLine="420"/>
        <w:textAlignment w:val="auto"/>
        <w:rPr>
          <w:color w:val="auto"/>
          <w:highlight w:val="none"/>
        </w:rPr>
      </w:pPr>
      <w:r>
        <w:rPr>
          <w:rFonts w:hint="eastAsia" w:ascii="宋体" w:hAnsi="宋体" w:eastAsia="宋体" w:cs="宋体"/>
          <w:color w:val="auto"/>
          <w:sz w:val="24"/>
          <w:szCs w:val="24"/>
          <w:highlight w:val="none"/>
        </w:rPr>
        <w:t>13.8.本招标文件未明确的其它约定事项或条款，待采购人与中标人签订合同时，由双方协商订立。</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textAlignment w:val="auto"/>
        <w:rPr>
          <w:highlight w:val="none"/>
        </w:rPr>
      </w:pPr>
      <w:r>
        <w:rPr>
          <w:rStyle w:val="23"/>
          <w:rFonts w:hint="eastAsia" w:ascii="宋体" w:hAnsi="宋体" w:eastAsia="宋体" w:cs="宋体"/>
          <w:highlight w:val="none"/>
        </w:rPr>
        <w:t>14、知识产权</w:t>
      </w:r>
    </w:p>
    <w:p>
      <w:pPr>
        <w:pStyle w:val="13"/>
        <w:keepNext w:val="0"/>
        <w:keepLines w:val="0"/>
        <w:pageBreakBefore w:val="0"/>
        <w:widowControl/>
        <w:suppressLineNumbers w:val="0"/>
        <w:kinsoku/>
        <w:wordWrap/>
        <w:overflowPunct/>
        <w:topLinePunct w:val="0"/>
        <w:autoSpaceDE/>
        <w:autoSpaceDN/>
        <w:bidi w:val="0"/>
        <w:adjustRightInd/>
        <w:snapToGrid w:val="0"/>
        <w:spacing w:line="400" w:lineRule="exact"/>
        <w:ind w:firstLine="480" w:firstLineChars="200"/>
        <w:textAlignment w:val="auto"/>
      </w:pPr>
      <w:r>
        <w:rPr>
          <w:rFonts w:hint="eastAsia" w:ascii="宋体" w:hAnsi="宋体" w:eastAsia="宋体" w:cs="宋体"/>
          <w:sz w:val="24"/>
          <w:szCs w:val="24"/>
        </w:rPr>
        <w:t>投标人须保障采购人在使用该货物或其任何一部分时不受到第三方关于侵犯专 利权、商 标权或工业设 计权等知识产权的指控；获得合同的投标人应保证代 理人和采购人不受到第三方关于侵犯专 利权的指控，任何第三方如果提出指控，获得合同的的投标人应与第三方交涉，承担可能发生的一切法律责任、费用和后果，并赔偿代 理人和采购人的损失。</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spacing w:val="0"/>
          <w:sz w:val="24"/>
          <w:szCs w:val="24"/>
        </w:rPr>
        <w:t>四、其他事项</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pPr>
      <w:r>
        <w:rPr>
          <w:rFonts w:hint="eastAsia" w:ascii="宋体" w:hAnsi="宋体" w:eastAsia="宋体" w:cs="宋体"/>
          <w:spacing w:val="0"/>
          <w:sz w:val="24"/>
          <w:szCs w:val="24"/>
        </w:rPr>
        <w:t>1、除招标文件另有规定外，若出现有关法律、法规和规章有强制性规定但招标文件未列明的情形，则投标人应按照有关法律、法规和规章强制性规定执行。</w:t>
      </w:r>
    </w:p>
    <w:p>
      <w:pPr>
        <w:pStyle w:val="13"/>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right="0" w:firstLine="0"/>
        <w:textAlignment w:val="auto"/>
        <w:rPr>
          <w:rFonts w:ascii="宋体" w:hAnsi="宋体" w:eastAsia="宋体" w:cs="宋体"/>
          <w:b/>
          <w:bCs/>
          <w:color w:val="auto"/>
          <w:sz w:val="28"/>
          <w:szCs w:val="28"/>
          <w:highlight w:val="none"/>
        </w:rPr>
        <w:sectPr>
          <w:pgSz w:w="11907" w:h="16840"/>
          <w:pgMar w:top="1134" w:right="1315" w:bottom="1134" w:left="1134" w:header="567" w:footer="567" w:gutter="0"/>
          <w:cols w:space="0" w:num="1"/>
          <w:rtlGutter w:val="0"/>
          <w:docGrid w:linePitch="312" w:charSpace="0"/>
        </w:sectPr>
      </w:pPr>
      <w:r>
        <w:rPr>
          <w:spacing w:val="0"/>
          <w:sz w:val="24"/>
          <w:szCs w:val="24"/>
        </w:rPr>
        <w:t>2、其他：</w:t>
      </w:r>
      <w:r>
        <w:rPr>
          <w:rFonts w:ascii="宋体" w:hAnsi="宋体" w:eastAsia="宋体" w:cs="宋体"/>
          <w:b/>
          <w:bCs/>
          <w:color w:val="auto"/>
          <w:sz w:val="28"/>
          <w:szCs w:val="28"/>
          <w:highlight w:val="none"/>
        </w:rPr>
        <w:t> </w:t>
      </w:r>
    </w:p>
    <w:p>
      <w:pPr>
        <w:pStyle w:val="39"/>
        <w:jc w:val="center"/>
        <w:outlineLvl w:val="1"/>
        <w:rPr>
          <w:rFonts w:hint="default" w:ascii="宋体" w:hAnsi="宋体" w:eastAsia="宋体" w:cs="宋体"/>
          <w:color w:val="auto"/>
          <w:highlight w:val="none"/>
        </w:rPr>
      </w:pPr>
      <w:r>
        <w:rPr>
          <w:rFonts w:ascii="宋体" w:hAnsi="宋体" w:eastAsia="宋体" w:cs="宋体"/>
          <w:b/>
          <w:color w:val="auto"/>
          <w:sz w:val="36"/>
          <w:highlight w:val="none"/>
        </w:rPr>
        <w:t>第四章  合同主要条款及格式</w:t>
      </w:r>
    </w:p>
    <w:p>
      <w:pPr>
        <w:pStyle w:val="39"/>
        <w:jc w:val="center"/>
        <w:rPr>
          <w:rFonts w:hint="default" w:ascii="宋体" w:hAnsi="宋体" w:eastAsia="宋体" w:cs="宋体"/>
          <w:color w:val="auto"/>
          <w:highlight w:val="none"/>
        </w:rPr>
      </w:pPr>
      <w:r>
        <w:rPr>
          <w:rFonts w:ascii="宋体" w:hAnsi="宋体" w:eastAsia="宋体" w:cs="宋体"/>
          <w:color w:val="auto"/>
          <w:highlight w:val="none"/>
        </w:rPr>
        <w:t>编制说明</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1、签订合同应遵守《中华人民共和国政府采购法》、《中华人民共和国民法典》。</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2、签订合同时，采购人与成交供应商应结合谈判文件第三章规定填列相应内容。如果双方使用谈判文件第四章已有规定的条款及格式，双方均不得对规定进行变更或调整；谈判文件第四章未作规定的条款及格式，双方可通过友好协商进行约定。</w:t>
      </w:r>
    </w:p>
    <w:p>
      <w:pPr>
        <w:pStyle w:val="39"/>
        <w:keepNext w:val="0"/>
        <w:keepLines w:val="0"/>
        <w:pageBreakBefore w:val="0"/>
        <w:widowControl/>
        <w:kinsoku/>
        <w:wordWrap/>
        <w:overflowPunct/>
        <w:topLinePunct w:val="0"/>
        <w:autoSpaceDE/>
        <w:autoSpaceDN/>
        <w:bidi w:val="0"/>
        <w:adjustRightInd/>
        <w:snapToGrid w:val="0"/>
        <w:spacing w:beforeAutospacing="0" w:afterAutospacing="0" w:line="400" w:lineRule="exact"/>
        <w:textAlignment w:val="auto"/>
        <w:rPr>
          <w:rFonts w:hint="default" w:ascii="宋体" w:hAnsi="宋体" w:eastAsia="宋体" w:cs="宋体"/>
          <w:color w:val="auto"/>
          <w:highlight w:val="none"/>
        </w:rPr>
      </w:pPr>
      <w:r>
        <w:rPr>
          <w:rFonts w:ascii="宋体" w:hAnsi="宋体" w:eastAsia="宋体" w:cs="宋体"/>
          <w:color w:val="auto"/>
          <w:highlight w:val="none"/>
        </w:rPr>
        <w:t>3.本章节所附的合同主要条款及格式为参考文本，如果因为项目实际特点不能适用，则可由甲乙双方在合同签订阶段可通过友好协商进行约定。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甲方：（采购人全称）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乙方：（中标人全称）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根据招标编号为            的（填写“项目名称”）项目（以下简称：“本项目”）的招标结果，乙方为中标人。现经甲乙双方友好协商，就以下事项达成一致并签订本合同：</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1、下列合同文件是构成本合同不可分割的部分：</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1.1合同条款；</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1.2招标文件、乙方的投标文件；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1.3其他文件或材料：□无。□（根据实际情况填写需要增加的内容）。</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2、合同标的</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3、合同总金额</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3.1合同总金额为人民币大写：              元（￥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4、合同标的交付时间、地点和条件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4.1交付时间：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4.2交付地点：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4.3交付条件：                     。</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5、合同标的应符合招标文件、乙方投标文件的规定或约定，具体如下：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6、验收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6.1验收应按照招标文件、乙方投标文件的规定或约定进行，具体如下：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6.2本项目是否邀请其他投标人参与验收：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□不邀请。□邀请，具体如下：（按照招标文件规定填写）。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7、合同款项的支付应按照招标文件的规定进行，具体如下：</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（根据实际情况填写，可以是表格或文字描述，包括一次性支付或分期支付等）。</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8、履约保证金</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□无。□有，具体如下：（按照招标文件规定填写）。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9、合同有效期</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10、违约责任</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（根据实际情况填写，可以是表格或文字描述）。</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11、知识产权</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甲方应与第三方交涉，并承担可能发生的一切法律责任、费用和后果；若甲方因此而遭致损失，则乙方应赔偿该损失。</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11.2若乙方提供的采购标的不符合国家知识产权法律、法规的规定或被有关主管机关认定为假冒伪劣品，则乙方中标资格将被取消；甲方还将按照有关法律、法规和规章的规定进行处理，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12、解决争议的方法</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12.1甲、乙双方协商解决。</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12.2若协商解决不成，则通过下列途径之一解决：</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□提交仲裁委员会仲裁，具体如下：（根据实际情况填写）。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□向人民法院提起诉讼，具体如下：（根据实际情况填写）。</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13、不可抗力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14、合同条款</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（根据实际情况填写。招标文件第五章已有规定的，双方均不得变更或调整；招标文件第五章未作规定的，双方可通过友好协商进行约定）。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15、其他约定</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15.1合同文件与本合同具有同等法律效力。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15.2本合同未尽事宜，双方可另行补充。</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15.3合同生效：（自签订之日起生效）。</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15.4本合同一式（填写具体份数）份，经双方授权代表签字并盖章后生效。甲方、乙方各执（填写具体份数）份，送（填写需要备案的监管部门的全称）备案（填写具体份数）份，具有同等效力。</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ind w:firstLine="48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15.5其他：□无。□（根据实际情况填写需要增加的内容）。</w:t>
      </w:r>
    </w:p>
    <w:p>
      <w:pPr>
        <w:keepNext w:val="0"/>
        <w:keepLines w:val="0"/>
        <w:pageBreakBefore w:val="0"/>
        <w:widowControl/>
        <w:kinsoku/>
        <w:wordWrap/>
        <w:overflowPunct/>
        <w:topLinePunct w:val="0"/>
        <w:autoSpaceDE/>
        <w:autoSpaceDN/>
        <w:bidi w:val="0"/>
        <w:adjustRightInd/>
        <w:snapToGrid w:val="0"/>
        <w:spacing w:beforeAutospacing="0" w:afterAutospacing="0" w:line="400" w:lineRule="exact"/>
        <w:jc w:val="center"/>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                      乙方：</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住所：                      住所：</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                   单位负责人：</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                   委托代理人：</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                    联系方法：</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账号：                      账号：</w:t>
      </w:r>
    </w:p>
    <w:p>
      <w:pPr>
        <w:widowControl/>
        <w:spacing w:before="100" w:beforeAutospacing="1" w:after="100" w:afterAutospacing="1"/>
        <w:jc w:val="left"/>
        <w:rPr>
          <w:rFonts w:ascii="宋体" w:hAnsi="宋体" w:eastAsia="宋体" w:cs="宋体"/>
          <w:color w:val="auto"/>
          <w:sz w:val="24"/>
          <w:szCs w:val="24"/>
          <w:highlight w:val="none"/>
        </w:rPr>
      </w:pPr>
    </w:p>
    <w:p>
      <w:pPr>
        <w:widowControl/>
        <w:spacing w:before="100" w:beforeAutospacing="1" w:after="100" w:afterAutospacing="1"/>
        <w:jc w:val="left"/>
        <w:rPr>
          <w:rFonts w:ascii="宋体" w:hAnsi="宋体" w:eastAsia="宋体" w:cs="宋体"/>
          <w:color w:val="auto"/>
          <w:sz w:val="24"/>
          <w:szCs w:val="24"/>
          <w:highlight w:val="none"/>
        </w:rPr>
      </w:pP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                </w:t>
      </w:r>
    </w:p>
    <w:p>
      <w:pPr>
        <w:widowControl/>
        <w:spacing w:before="100" w:beforeAutospacing="1" w:after="100" w:afterAutospacing="1"/>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    年   月   日</w:t>
      </w:r>
    </w:p>
    <w:p>
      <w:pPr>
        <w:pStyle w:val="13"/>
        <w:widowControl/>
        <w:spacing w:before="75" w:after="75"/>
        <w:rPr>
          <w:rFonts w:ascii="宋体" w:hAnsi="宋体" w:eastAsia="宋体" w:cs="宋体"/>
          <w:color w:val="auto"/>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spacing w:line="360" w:lineRule="auto"/>
        <w:rPr>
          <w:rFonts w:ascii="宋体" w:hAnsi="宋体" w:eastAsia="宋体" w:cs="宋体"/>
          <w:b/>
          <w:bCs/>
          <w:color w:val="auto"/>
          <w:kern w:val="0"/>
          <w:sz w:val="24"/>
          <w:szCs w:val="24"/>
          <w:highlight w:val="none"/>
        </w:rPr>
      </w:pPr>
    </w:p>
    <w:p>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39"/>
        <w:spacing w:line="400" w:lineRule="exact"/>
        <w:rPr>
          <w:rFonts w:hint="default" w:ascii="宋体" w:hAnsi="宋体" w:eastAsia="宋体" w:cs="宋体"/>
          <w:color w:val="auto"/>
          <w:sz w:val="24"/>
          <w:szCs w:val="24"/>
          <w:highlight w:val="none"/>
        </w:rPr>
      </w:pPr>
    </w:p>
    <w:p>
      <w:pPr>
        <w:pStyle w:val="2"/>
        <w:rPr>
          <w:rFonts w:ascii="宋体" w:hAnsi="宋体" w:eastAsia="宋体" w:cs="宋体"/>
          <w:color w:val="auto"/>
          <w:sz w:val="24"/>
          <w:szCs w:val="24"/>
          <w:highlight w:val="none"/>
        </w:rPr>
      </w:pPr>
    </w:p>
    <w:p>
      <w:pPr>
        <w:pStyle w:val="39"/>
        <w:numPr>
          <w:ilvl w:val="0"/>
          <w:numId w:val="5"/>
        </w:numPr>
        <w:jc w:val="center"/>
        <w:outlineLvl w:val="1"/>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 xml:space="preserve"> 首次响应文件格式</w:t>
      </w:r>
    </w:p>
    <w:p>
      <w:pPr>
        <w:pStyle w:val="39"/>
        <w:jc w:val="center"/>
        <w:outlineLvl w:val="1"/>
        <w:rPr>
          <w:rFonts w:hint="default" w:ascii="宋体" w:hAnsi="宋体" w:eastAsia="宋体" w:cs="宋体"/>
          <w:b/>
          <w:color w:val="auto"/>
          <w:sz w:val="24"/>
          <w:szCs w:val="24"/>
          <w:highlight w:val="none"/>
        </w:rPr>
      </w:pPr>
    </w:p>
    <w:p>
      <w:pPr>
        <w:pStyle w:val="39"/>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编制说明</w:t>
      </w:r>
    </w:p>
    <w:p>
      <w:pPr>
        <w:pStyle w:val="39"/>
        <w:ind w:firstLine="48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本附件所有格式为响应文件的组成部分，供采购人或代理机构编制谈判文件时参考使用。由于新增政策、行业管理规定或者不同项目实际特点需要,则采购人或代理机构可以对有关表格进行必要的补充或修改，以满足实际项目的使用。</w:t>
      </w:r>
    </w:p>
    <w:p>
      <w:pPr>
        <w:pStyle w:val="39"/>
        <w:rPr>
          <w:rFonts w:hint="default" w:ascii="宋体" w:hAnsi="宋体" w:eastAsia="宋体" w:cs="宋体"/>
          <w:color w:val="auto"/>
          <w:sz w:val="24"/>
          <w:szCs w:val="24"/>
          <w:highlight w:val="none"/>
        </w:rPr>
      </w:pPr>
    </w:p>
    <w:p>
      <w:pPr>
        <w:pStyle w:val="39"/>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jc w:val="center"/>
        <w:outlineLvl w:val="1"/>
        <w:rPr>
          <w:rFonts w:hint="default" w:ascii="宋体" w:hAnsi="宋体" w:eastAsia="宋体" w:cs="宋体"/>
          <w:b/>
          <w:color w:val="auto"/>
          <w:sz w:val="36"/>
          <w:highlight w:val="none"/>
        </w:rPr>
      </w:pPr>
    </w:p>
    <w:p>
      <w:pPr>
        <w:pStyle w:val="39"/>
        <w:jc w:val="center"/>
        <w:outlineLvl w:val="1"/>
        <w:rPr>
          <w:rFonts w:hint="default" w:ascii="宋体" w:hAnsi="宋体" w:eastAsia="宋体" w:cs="宋体"/>
          <w:b/>
          <w:color w:val="auto"/>
          <w:sz w:val="36"/>
          <w:highlight w:val="none"/>
        </w:rPr>
      </w:pPr>
    </w:p>
    <w:p>
      <w:pPr>
        <w:pStyle w:val="39"/>
        <w:jc w:val="center"/>
        <w:outlineLvl w:val="1"/>
        <w:rPr>
          <w:rFonts w:hint="default" w:ascii="宋体" w:hAnsi="宋体" w:eastAsia="宋体" w:cs="宋体"/>
          <w:b/>
          <w:color w:val="auto"/>
          <w:sz w:val="44"/>
          <w:szCs w:val="44"/>
          <w:highlight w:val="none"/>
        </w:rPr>
      </w:pPr>
    </w:p>
    <w:p>
      <w:pPr>
        <w:pStyle w:val="39"/>
        <w:jc w:val="center"/>
        <w:outlineLvl w:val="1"/>
        <w:rPr>
          <w:rFonts w:hint="default" w:ascii="宋体" w:hAnsi="宋体" w:eastAsia="宋体" w:cs="宋体"/>
          <w:b/>
          <w:color w:val="auto"/>
          <w:sz w:val="44"/>
          <w:szCs w:val="44"/>
          <w:highlight w:val="none"/>
        </w:rPr>
      </w:pPr>
    </w:p>
    <w:p>
      <w:pPr>
        <w:pStyle w:val="39"/>
        <w:jc w:val="center"/>
        <w:outlineLvl w:val="1"/>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福建省政府采购项目竞争性谈判</w:t>
      </w:r>
    </w:p>
    <w:p>
      <w:pPr>
        <w:pStyle w:val="39"/>
        <w:spacing w:line="600" w:lineRule="exact"/>
        <w:jc w:val="center"/>
        <w:outlineLvl w:val="2"/>
        <w:rPr>
          <w:rFonts w:hint="default" w:ascii="宋体" w:hAnsi="宋体" w:eastAsia="宋体" w:cs="宋体"/>
          <w:b/>
          <w:color w:val="auto"/>
          <w:sz w:val="44"/>
          <w:szCs w:val="44"/>
          <w:highlight w:val="none"/>
        </w:rPr>
      </w:pP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响应文件</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（首次）</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项目名称：</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项目编号：</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采购包:</w:t>
      </w:r>
      <w:r>
        <w:rPr>
          <w:rFonts w:ascii="宋体" w:hAnsi="宋体" w:eastAsia="宋体" w:cs="宋体"/>
          <w:color w:val="auto"/>
          <w:sz w:val="44"/>
          <w:szCs w:val="44"/>
          <w:highlight w:val="none"/>
        </w:rPr>
        <w:br w:type="textWrapping"/>
      </w: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color w:val="auto"/>
          <w:sz w:val="44"/>
          <w:szCs w:val="44"/>
          <w:highlight w:val="none"/>
        </w:rPr>
        <w:br w:type="textWrapping"/>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供应商名称：</w:t>
      </w:r>
    </w:p>
    <w:p>
      <w:pPr>
        <w:pStyle w:val="39"/>
        <w:spacing w:line="600" w:lineRule="exact"/>
        <w:jc w:val="center"/>
        <w:outlineLvl w:val="2"/>
        <w:rPr>
          <w:rFonts w:hint="default" w:ascii="宋体" w:hAnsi="宋体" w:eastAsia="宋体" w:cs="宋体"/>
          <w:color w:val="auto"/>
          <w:sz w:val="44"/>
          <w:szCs w:val="44"/>
          <w:highlight w:val="none"/>
        </w:rPr>
      </w:pPr>
      <w:r>
        <w:rPr>
          <w:rFonts w:ascii="宋体" w:hAnsi="宋体" w:eastAsia="宋体" w:cs="宋体"/>
          <w:b/>
          <w:color w:val="auto"/>
          <w:sz w:val="44"/>
          <w:szCs w:val="44"/>
          <w:highlight w:val="none"/>
        </w:rPr>
        <w:t>日   期：</w:t>
      </w:r>
    </w:p>
    <w:p>
      <w:pPr>
        <w:pStyle w:val="39"/>
        <w:rPr>
          <w:rFonts w:hint="default" w:ascii="宋体" w:hAnsi="宋体" w:eastAsia="宋体" w:cs="宋体"/>
          <w:color w:val="auto"/>
          <w:highlight w:val="none"/>
        </w:rPr>
      </w:pPr>
    </w:p>
    <w:p>
      <w:pPr>
        <w:pStyle w:val="39"/>
        <w:rPr>
          <w:rFonts w:hint="default" w:ascii="宋体" w:hAnsi="宋体" w:eastAsia="宋体" w:cs="宋体"/>
          <w:color w:val="auto"/>
          <w:highlight w:val="none"/>
        </w:rPr>
      </w:pPr>
      <w:r>
        <w:rPr>
          <w:rFonts w:ascii="宋体" w:hAnsi="宋体" w:eastAsia="宋体" w:cs="宋体"/>
          <w:color w:val="auto"/>
          <w:highlight w:val="none"/>
        </w:rPr>
        <w:t xml:space="preserve"> </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9"/>
        <w:rPr>
          <w:rFonts w:hint="default" w:ascii="宋体" w:hAnsi="宋体" w:eastAsia="宋体" w:cs="宋体"/>
          <w:color w:val="auto"/>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目</w:t>
      </w:r>
      <w:r>
        <w:rPr>
          <w:rFonts w:ascii="宋体" w:hAnsi="宋体" w:eastAsia="宋体" w:cs="宋体"/>
          <w:b/>
          <w:color w:val="auto"/>
          <w:sz w:val="24"/>
          <w:szCs w:val="24"/>
          <w:highlight w:val="none"/>
          <w:lang w:eastAsia="zh-CN"/>
        </w:rPr>
        <w:t xml:space="preserve">  </w:t>
      </w:r>
      <w:r>
        <w:rPr>
          <w:rFonts w:ascii="宋体" w:hAnsi="宋体" w:eastAsia="宋体" w:cs="宋体"/>
          <w:b/>
          <w:color w:val="auto"/>
          <w:sz w:val="24"/>
          <w:szCs w:val="24"/>
          <w:highlight w:val="none"/>
        </w:rPr>
        <w:t>录</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附件1：谈判响应声明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附件2：报价一览表（含详细报价书）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附件3：资格证明文件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附件4：谈判保证金凭证</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附件5：技术、服务和商务响应表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附件6：相关技术、商务、服务响应承诺及资料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附件7：供应商提交符合政府采购政策的证明材料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附件8：要求作为响应文件组成部分的其他内容（若有）</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附件1 谈判响应声明</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致：(采购人或采购代理机构)</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1.根据贵方为项目（项目编号）:的采购公告（或采购邀请书），我方签字代表</w:t>
      </w:r>
      <w:r>
        <w:rPr>
          <w:rFonts w:ascii="宋体" w:hAnsi="宋体" w:eastAsia="宋体" w:cs="宋体"/>
          <w:color w:val="auto"/>
          <w:sz w:val="24"/>
          <w:szCs w:val="24"/>
          <w:highlight w:val="none"/>
          <w:u w:val="single"/>
        </w:rPr>
        <w:t>（全名、职务）</w:t>
      </w:r>
      <w:r>
        <w:rPr>
          <w:rFonts w:ascii="宋体" w:hAnsi="宋体" w:eastAsia="宋体" w:cs="宋体"/>
          <w:color w:val="auto"/>
          <w:sz w:val="24"/>
          <w:szCs w:val="24"/>
          <w:highlight w:val="none"/>
        </w:rPr>
        <w:t>经正式授权并代表的供应商</w:t>
      </w:r>
      <w:r>
        <w:rPr>
          <w:rFonts w:ascii="宋体" w:hAnsi="宋体" w:eastAsia="宋体" w:cs="宋体"/>
          <w:color w:val="auto"/>
          <w:sz w:val="24"/>
          <w:szCs w:val="24"/>
          <w:highlight w:val="none"/>
          <w:u w:val="single"/>
        </w:rPr>
        <w:t>（供应商名称、地址）</w:t>
      </w:r>
      <w:r>
        <w:rPr>
          <w:rFonts w:ascii="宋体" w:hAnsi="宋体" w:eastAsia="宋体" w:cs="宋体"/>
          <w:color w:val="auto"/>
          <w:sz w:val="24"/>
          <w:szCs w:val="24"/>
          <w:highlight w:val="none"/>
        </w:rPr>
        <w:t>提交包含下述内容的首次响应纸质文件正本套，副本套及电子文档套。</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（1）谈判响应声明</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（2）报价一览表（含详细报价书）</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（3）资格证明文件</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（4）谈判保证金凭证</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（5）技术、服务和商务响应表</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（6）相关技术、商务、服务响应承诺及资料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（7）供应商提交符合政府采购政策的证明材料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（8）按照谈判文件规定，要求作为响应文件组成部分的其他内容（若有）</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2.据此函，我方宣布响应承诺如下：</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2.4我方已经按照谈判文件要求提交谈判保证金。我方如果发生任何竞争性谈判文件中所述不予退还谈判保证金的情况，则我方的谈判保证金将被贵方不予退还，我方对此无异议。谈判保证金或保函有效期与响应文件有效期保持一致。</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2.5我方愿意向贵方提供任何与本项目谈判采购有关的数据或资料。若贵方需要，我方愿意提供我方作出的一切承诺的证明材料。</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2.7我方承诺响应文件所提供的全部资料真实可靠，并接受谈判小组、采购人、采购代理机构、监管部门进一步审查其中任何资料真实性的要求</w:t>
      </w:r>
    </w:p>
    <w:p>
      <w:pPr>
        <w:pStyle w:val="39"/>
        <w:spacing w:line="360" w:lineRule="auto"/>
        <w:ind w:firstLine="480"/>
        <w:rPr>
          <w:rFonts w:hint="default" w:ascii="宋体" w:hAnsi="宋体" w:eastAsia="宋体" w:cs="宋体"/>
          <w:color w:val="auto"/>
          <w:sz w:val="24"/>
          <w:szCs w:val="24"/>
          <w:highlight w:val="none"/>
        </w:rPr>
      </w:pP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通信地址:</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邮编：传真号：</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联系电话（固定电话和移动电话）：</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供应商代表电子信箱：</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（全称并加盖公章）</w:t>
      </w:r>
    </w:p>
    <w:p>
      <w:pPr>
        <w:pStyle w:val="39"/>
        <w:spacing w:line="360" w:lineRule="auto"/>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lang w:eastAsia="zh-CN"/>
        </w:rPr>
        <w:t xml:space="preserve">   </w:t>
      </w:r>
      <w:r>
        <w:rPr>
          <w:rFonts w:ascii="宋体" w:hAnsi="宋体" w:eastAsia="宋体" w:cs="宋体"/>
          <w:color w:val="auto"/>
          <w:sz w:val="24"/>
          <w:szCs w:val="24"/>
          <w:highlight w:val="none"/>
        </w:rPr>
        <w:t>日</w:t>
      </w:r>
    </w:p>
    <w:p>
      <w:pPr>
        <w:pStyle w:val="39"/>
        <w:spacing w:line="360" w:lineRule="auto"/>
        <w:rPr>
          <w:rFonts w:hint="default" w:ascii="宋体" w:hAnsi="宋体" w:eastAsia="宋体" w:cs="宋体"/>
          <w:color w:val="auto"/>
          <w:sz w:val="24"/>
          <w:szCs w:val="24"/>
          <w:highlight w:val="none"/>
        </w:rPr>
      </w:pPr>
    </w:p>
    <w:p>
      <w:pPr>
        <w:pStyle w:val="39"/>
        <w:spacing w:line="360" w:lineRule="auto"/>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附件2 报价一览表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货币单位：元人民币</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lang w:eastAsia="zh-CN"/>
              </w:rPr>
              <w:t>二</w:t>
            </w:r>
            <w:r>
              <w:rPr>
                <w:rFonts w:ascii="宋体" w:hAnsi="宋体" w:eastAsia="宋体" w:cs="宋体"/>
                <w:color w:val="auto"/>
                <w:sz w:val="24"/>
                <w:szCs w:val="24"/>
                <w:highlight w:val="none"/>
              </w:rPr>
              <w:t>次报价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交货期/工期/项目完成时间/服务时间</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谈判保证金</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567" w:hRule="atLeast"/>
        </w:trPr>
        <w:tc>
          <w:tcPr>
            <w:tcW w:w="709" w:type="dxa"/>
          </w:tcPr>
          <w:p>
            <w:pPr>
              <w:pStyle w:val="39"/>
              <w:spacing w:line="400" w:lineRule="exact"/>
              <w:rPr>
                <w:rFonts w:hint="default"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备注：详细报价书另纸详列，格式自拟。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附件2-1 详细报价书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各供应商应根据竞争性谈判文件的要求，在响应文件中提出为完成本项目相应采购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为完成相应采购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不能详细列明采购标的的技术、服务要求的谈判采购项目或者如优惠率谈判、单价谈判等特殊类型的谈判采购项目，由供应商根据谈判文件的具体规定和项目特点提交详细报价书，采购人或采购代理机构如果对详细报价书有统一格式要求的，可以进行规定或附表。如果没有特别要求的，则格式由供应商根据项目特点自行拟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附件3  资格证明文件</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附件3-1 参加竞争性谈判的声明函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1、关于贵方</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2、供应商的基本概况：</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2.1供应商单位名称：</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2.2注册地址：</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2.3单位负责人姓名：</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性别：</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年龄：</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职务：</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备注：“单位负责人”指单位法定代表人（供应商为法人的）或法律、法规规定代表单位行使职权的主要负责人（供应商为其他组织的）。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附件3-2 供应商的资格声明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20"/>
        <w:tblW w:w="921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393"/>
        <w:gridCol w:w="38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《中华人民共和国政府采购法》第二十二条对供应商的要求</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供应商对是否符合要求做如实声明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（1）具有独立承担民事责任的能力</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（2）具有良好的商业信誉和健全的财务会计制度</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（3）具有履行合同所必需的设备和专业技术能力</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（4）有依法缴纳税收和社会保障资金的良好记录</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（5）参加政府采购活动前三年内，在经营活动中没有重大违法记录</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（6）法律、行政法规规定的其他条件。</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谈判文件对合格供应商的一般规定</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供应商对是否违反一般规定做如实声明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为采购项目提供整体设计、规范编制或项目管理、监理、检测等服务的供应商，不得再参加该采购项目除整体设计、规范编制和项目管理、监理、检测等服务之外的其他采购活动。</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39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列入失信被执行人、重大税收违法案件当事人名单、政府采购严重违法失信行为记录名单的供应商，不得参加政府采购活动。</w:t>
            </w:r>
          </w:p>
        </w:tc>
        <w:tc>
          <w:tcPr>
            <w:tcW w:w="38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2、我方对上述声明的真实性、合法性、准确性、有效性负责，并愿意根据谈判文件和谈判过程中贵方要求提供全部现有资料、数据、文件等予以证实。</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备注：对于接受联合体形式的谈判且供应商是联合体的，则联合体各成员都应当提交本资格证明文件。</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附件3-3 单位负责人授权书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我方的单位负责人</w:t>
      </w:r>
      <w:r>
        <w:rPr>
          <w:rFonts w:ascii="宋体" w:hAnsi="宋体" w:eastAsia="宋体" w:cs="宋体"/>
          <w:color w:val="auto"/>
          <w:sz w:val="24"/>
          <w:szCs w:val="24"/>
          <w:highlight w:val="none"/>
          <w:u w:val="single"/>
        </w:rPr>
        <w:t>（填写“单位负责人全名”）</w:t>
      </w:r>
      <w:r>
        <w:rPr>
          <w:rFonts w:ascii="宋体" w:hAnsi="宋体" w:eastAsia="宋体" w:cs="宋体"/>
          <w:color w:val="auto"/>
          <w:sz w:val="24"/>
          <w:szCs w:val="24"/>
          <w:highlight w:val="none"/>
        </w:rPr>
        <w:t>授权</w:t>
      </w:r>
      <w:r>
        <w:rPr>
          <w:rFonts w:ascii="宋体" w:hAnsi="宋体" w:eastAsia="宋体" w:cs="宋体"/>
          <w:color w:val="auto"/>
          <w:sz w:val="24"/>
          <w:szCs w:val="24"/>
          <w:highlight w:val="none"/>
          <w:u w:val="single"/>
        </w:rPr>
        <w:t>（填写“供应商代表全名”）</w:t>
      </w:r>
      <w:r>
        <w:rPr>
          <w:rFonts w:ascii="宋体" w:hAnsi="宋体" w:eastAsia="宋体" w:cs="宋体"/>
          <w:color w:val="auto"/>
          <w:sz w:val="24"/>
          <w:szCs w:val="24"/>
          <w:highlight w:val="none"/>
        </w:rPr>
        <w:t>为我方的供应商代表，代表我方参加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供应商代表无转委权。特此授权。</w:t>
      </w: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身份证号：</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手机：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授权方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w:t>
      </w:r>
      <w:r>
        <w:rPr>
          <w:rFonts w:ascii="宋体" w:hAnsi="宋体" w:eastAsia="宋体" w:cs="宋体"/>
          <w:color w:val="auto"/>
          <w:sz w:val="24"/>
          <w:szCs w:val="24"/>
          <w:highlight w:val="none"/>
          <w:u w:val="single"/>
        </w:rPr>
        <w:t>（全称并加盖单位公章）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单位负责人签字或盖章：</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接受授权方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签署日期：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附：单位负责人、供应商代表的身份证正反面复印件</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要求：真实、有效、清晰</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4、对于接受联合体形式的谈判且供应商是联合体的，则只需要联合体的牵头方提交本授权书，在纸质响应文件正本中的本授权书应为原件。</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附件3-4 营业执照等证明文件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（请填写法人的具体证照名称）</w:t>
      </w:r>
      <w:r>
        <w:rPr>
          <w:rFonts w:ascii="宋体" w:hAnsi="宋体" w:eastAsia="宋体" w:cs="宋体"/>
          <w:color w:val="auto"/>
          <w:sz w:val="24"/>
          <w:szCs w:val="24"/>
          <w:highlight w:val="none"/>
        </w:rPr>
        <w:t>复印件，该证明材料真实有效，否则我方负全部责任。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（）供应商为非法人（包括其他组织、自然人）的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（请填写非自然人的非法人的具体证照名称）</w:t>
      </w:r>
      <w:r>
        <w:rPr>
          <w:rFonts w:ascii="宋体" w:hAnsi="宋体" w:eastAsia="宋体" w:cs="宋体"/>
          <w:color w:val="auto"/>
          <w:sz w:val="24"/>
          <w:szCs w:val="24"/>
          <w:highlight w:val="none"/>
        </w:rPr>
        <w:t>复印件，该证明材料真实有效，否则我方负全部责任。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w:t>
      </w:r>
      <w:r>
        <w:rPr>
          <w:rFonts w:ascii="宋体" w:hAnsi="宋体" w:eastAsia="宋体" w:cs="宋体"/>
          <w:color w:val="auto"/>
          <w:sz w:val="24"/>
          <w:szCs w:val="24"/>
          <w:highlight w:val="none"/>
          <w:u w:val="single"/>
        </w:rPr>
        <w:t>（填写“签发机关全称”）</w:t>
      </w:r>
      <w:r>
        <w:rPr>
          <w:rFonts w:ascii="宋体" w:hAnsi="宋体" w:eastAsia="宋体" w:cs="宋体"/>
          <w:color w:val="auto"/>
          <w:sz w:val="24"/>
          <w:szCs w:val="24"/>
          <w:highlight w:val="none"/>
        </w:rPr>
        <w:t>签发的我方统一社会信用代码</w:t>
      </w:r>
      <w:r>
        <w:rPr>
          <w:rFonts w:ascii="宋体" w:hAnsi="宋体" w:eastAsia="宋体" w:cs="宋体"/>
          <w:color w:val="auto"/>
          <w:sz w:val="24"/>
          <w:szCs w:val="24"/>
          <w:highlight w:val="none"/>
          <w:u w:val="single"/>
        </w:rPr>
        <w:t>（请填写自然人的身份证件名称）</w:t>
      </w:r>
      <w:r>
        <w:rPr>
          <w:rFonts w:ascii="宋体" w:hAnsi="宋体" w:eastAsia="宋体" w:cs="宋体"/>
          <w:color w:val="auto"/>
          <w:sz w:val="24"/>
          <w:szCs w:val="24"/>
          <w:highlight w:val="none"/>
        </w:rPr>
        <w:t>复印件，该证明材料真实有效，否则我方负全部责任。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1、请供应商根据实际情况填写，在相应的（）中打“√”并选择相应的“□”（若有）后，再按照本格式的要求提供相应证明材料的复印件。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附件3-5 财务状况报告</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（）供应商提供财务报告的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财务报告复印件，包括资产负债表、利润表、现金流量表、所有者权益变动表及其附注（若有）、会计师事务所营业执照和注册会计师资格证书，上述证明材料真实有效，否则我方负全部责任。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□事业单位适用：现附上我方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□社会团体、民办非企单位适用：现附上我方</w:t>
      </w:r>
      <w:r>
        <w:rPr>
          <w:rFonts w:ascii="宋体" w:hAnsi="宋体" w:eastAsia="宋体" w:cs="宋体"/>
          <w:color w:val="auto"/>
          <w:sz w:val="24"/>
          <w:szCs w:val="24"/>
          <w:highlight w:val="none"/>
          <w:u w:val="single"/>
        </w:rPr>
        <w:t>（填写“具体的年度、或半年度、或季度”）</w:t>
      </w:r>
      <w:r>
        <w:rPr>
          <w:rFonts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（）供应商提供资信证明的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□非自然人适用（包括企业、事业单位、社会团体和其他组织）：现附上我方银行：</w:t>
      </w:r>
      <w:r>
        <w:rPr>
          <w:rFonts w:ascii="宋体" w:hAnsi="宋体" w:eastAsia="宋体" w:cs="宋体"/>
          <w:color w:val="auto"/>
          <w:sz w:val="24"/>
          <w:szCs w:val="24"/>
          <w:highlight w:val="none"/>
          <w:u w:val="single"/>
        </w:rPr>
        <w:t>（填写“开户银行全称”）</w:t>
      </w:r>
      <w:r>
        <w:rPr>
          <w:rFonts w:ascii="宋体" w:hAnsi="宋体" w:eastAsia="宋体" w:cs="宋体"/>
          <w:color w:val="auto"/>
          <w:sz w:val="24"/>
          <w:szCs w:val="24"/>
          <w:highlight w:val="none"/>
        </w:rPr>
        <w:t>出具的资信证明复印件，上述证明材料真实有效，否则我方负全部责任。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□自然人适用（包括企业、事业单位、社会团体和其他组织）：现附上我方银行：</w:t>
      </w:r>
      <w:r>
        <w:rPr>
          <w:rFonts w:ascii="宋体" w:hAnsi="宋体" w:eastAsia="宋体" w:cs="宋体"/>
          <w:color w:val="auto"/>
          <w:sz w:val="24"/>
          <w:szCs w:val="24"/>
          <w:highlight w:val="none"/>
          <w:u w:val="single"/>
        </w:rPr>
        <w:t>（填写自然人的“个人账户的开户银行全称”）</w:t>
      </w:r>
      <w:r>
        <w:rPr>
          <w:rFonts w:ascii="宋体" w:hAnsi="宋体" w:eastAsia="宋体" w:cs="宋体"/>
          <w:color w:val="auto"/>
          <w:sz w:val="24"/>
          <w:szCs w:val="24"/>
          <w:highlight w:val="none"/>
        </w:rPr>
        <w:t>出具的资信证明复印件，上述证明材料真实有效，否则我方负全部责任。</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（）供应商提供谈判担保函的</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现附上由财政部门认可的政府采购专业担保机构：</w:t>
      </w:r>
      <w:r>
        <w:rPr>
          <w:rFonts w:ascii="宋体" w:hAnsi="宋体" w:eastAsia="宋体" w:cs="宋体"/>
          <w:color w:val="auto"/>
          <w:sz w:val="24"/>
          <w:szCs w:val="24"/>
          <w:highlight w:val="none"/>
          <w:u w:val="single"/>
        </w:rPr>
        <w:t>（填写“担保机构全称”）</w:t>
      </w:r>
      <w:r>
        <w:rPr>
          <w:rFonts w:ascii="宋体" w:hAnsi="宋体" w:eastAsia="宋体" w:cs="宋体"/>
          <w:color w:val="auto"/>
          <w:sz w:val="24"/>
          <w:szCs w:val="24"/>
          <w:highlight w:val="none"/>
        </w:rPr>
        <w:t>出具的谈判担保函复印件，上述证明材料真实有效，否则我方负全部责任。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t>※注意事项：</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2、供应商提供的财务报告复印件（成立年限按照首次响应文件递交截止时间推算）应符合下列规定：</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2.1成立年限满1年及以上的供应商，提供经审计的上一年度的年度财务报告。</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2.2成立年限满半年但不足1年的供应商，提供该半年度中任一季度的季度财务报告或该半年度的半年度财务报告。</w:t>
      </w:r>
    </w:p>
    <w:p>
      <w:pPr>
        <w:pStyle w:val="39"/>
        <w:spacing w:line="36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※无法按照本格式注意事项第2.1、2.2条规定提供财务报告复印件的供应商，应按照本格式注意事项的要求选择提供资信证明复印件或谈判担保函复印件。</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3、“财政部门认可的政府采购专业担保机构”应符合《财政部关于开展政府采购信用担保试点工作方案》（财库[2011]124号）的规定。</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4、供应商提供的相应证明材料复印件均应符合：内容完整、清晰、整洁，并由供应商加盖其单位公章。</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5、对于接受联合体形式的磋商且供应商是联合体的，则联合体各成员都应当提交本资格证明文件。</w:t>
      </w:r>
      <w:r>
        <w:rPr>
          <w:rFonts w:ascii="宋体" w:hAnsi="宋体" w:eastAsia="宋体" w:cs="宋体"/>
          <w:color w:val="auto"/>
          <w:sz w:val="24"/>
          <w:szCs w:val="24"/>
          <w:highlight w:val="none"/>
        </w:rPr>
        <w:br w:type="textWrapping"/>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36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附件3-6 依法缴纳税收证明材料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1、依法缴纳税收的供应商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现附上自 </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日期间我方缴纳（包括但不限于税务机关出具的专用收据、税收缴纳证明或税收代缴银行的缴款收讫凭证）等税收凭据复印件，上述证明材料真实有效，否则我方负全部责任。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2、依法减免税收的供应商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（）现附上我方依法免税证明材料复印件，上述证明材料真实有效，否则我方负全部责任。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2、供应商提供的税收凭据复印件应符合下列规定：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2.1首次响应文件递交截止时间前（不含截止时间的当月）已依法缴纳税收的供应商，提供首次响应文件递交截止时间前六个月（不含截止时间的当月）中任一月份的税收凭据复印件。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2.3若为依法免税范围的供应商，提供依法免税证明材料的，视同满足本项资格条件要求。</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lang w:eastAsia="zh-CN"/>
        </w:rPr>
      </w:pPr>
      <w:r>
        <w:rPr>
          <w:rFonts w:ascii="宋体" w:hAnsi="宋体" w:eastAsia="宋体" w:cs="宋体"/>
          <w:b/>
          <w:color w:val="auto"/>
          <w:sz w:val="24"/>
          <w:szCs w:val="24"/>
          <w:highlight w:val="none"/>
        </w:rPr>
        <w:t>附件3-7 依法缴纳社会保障资金证明材料</w:t>
      </w:r>
      <w:r>
        <w:rPr>
          <w:rFonts w:ascii="宋体" w:hAnsi="宋体" w:eastAsia="宋体" w:cs="宋体"/>
          <w:b/>
          <w:color w:val="auto"/>
          <w:sz w:val="24"/>
          <w:szCs w:val="24"/>
          <w:highlight w:val="none"/>
          <w:lang w:eastAsia="zh-CN"/>
        </w:rPr>
        <w:t>（如有）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1、依法缴纳社会保障资金的供应商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（）法人（包括企业、事业单位和社会团体）的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（）非法人（包括其他组织、自然人）的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自</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日至</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日我方缴纳的社会保险凭据（限：税务机关/社会保障资金管理机关的专用收据或社会保险缴纳清单，或社会保险的银行缴款收讫凭证）复印件，上述证明材料真实有效，否则我方负全部责任。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2、依法不需要缴纳或暂缓缴纳社会保障资金的供应商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（）现附上我方依法不需要缴纳社会保障资金证明材料复印件，上述证明材料真实有效，否则我方负全部责任。、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1、请供应商根据实际情况填写，在相应的（）中打“√”，并按照本格式的要求提供相应证明材料的复印件。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2、供应商提供的社会保险凭据复印件应符合下列规定：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2.2首次响应文件递交截止时间的当月成立的供应商，视同满足本项资格条件要求。</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2.3若为依法不需要缴纳或暂缓缴纳社会保障资金的供应商，提供依法不需要缴纳或暂缓缴纳社会保障资金证明材料的，视同满足本项资格条件要求。</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附件3-8 具备履行合同所必需设备和专业技术能力证明材料</w:t>
      </w:r>
    </w:p>
    <w:p>
      <w:pPr>
        <w:pStyle w:val="39"/>
        <w:spacing w:line="400" w:lineRule="exact"/>
        <w:jc w:val="center"/>
        <w:outlineLvl w:val="1"/>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声明函</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我方具备履行合同所必需的设备和专业技术能力，并对本声明承诺的真实性负责，否则产生不利后果由我方承担责任。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2" w:firstLineChars="200"/>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1.谈判文件“供应商的资格”中特定资格条件如果没有特别规定，则由供应商在响应文件中按上述格式提供其具备履行合同所必需的设备和专业技术能力的声明即可，声明函应加盖供应商单位公章。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3.对于接受联合体形式的谈判且供应商是联合体的，则联合体各成员都应当提交本资格证明文件。</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附件3-9 信用记录查询结果</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1、由谈判小组通过网站查询并打印供应商的信用记录。</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附件3-10 联合体协议</w:t>
      </w: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（接受联合体的项目使用）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w:t>
      </w:r>
      <w:r>
        <w:rPr>
          <w:rFonts w:ascii="宋体" w:hAnsi="宋体" w:eastAsia="宋体" w:cs="宋体"/>
          <w:color w:val="auto"/>
          <w:sz w:val="24"/>
          <w:szCs w:val="24"/>
          <w:highlight w:val="none"/>
          <w:u w:val="single"/>
        </w:rPr>
        <w:t>（填写“联合体中各方的全称”，各方的全称之间请用“、”分割）</w:t>
      </w:r>
      <w:r>
        <w:rPr>
          <w:rFonts w:ascii="宋体" w:hAnsi="宋体" w:eastAsia="宋体" w:cs="宋体"/>
          <w:color w:val="auto"/>
          <w:sz w:val="24"/>
          <w:szCs w:val="24"/>
          <w:highlight w:val="none"/>
        </w:rPr>
        <w:t>自愿组成联合体，共同参加（填写</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（填写“项目编号”）</w:t>
      </w:r>
      <w:r>
        <w:rPr>
          <w:rFonts w:ascii="宋体" w:hAnsi="宋体" w:eastAsia="宋体" w:cs="宋体"/>
          <w:color w:val="auto"/>
          <w:sz w:val="24"/>
          <w:szCs w:val="24"/>
          <w:highlight w:val="none"/>
        </w:rPr>
        <w:t>）的响应。现就联合体参加本项目响应谈判的有关事宜达成下列协议：</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一、联合体各方应承担的工作和义务具体如下：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1、牵头方单位名称：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2.1（成员一的全称）：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二、联合体各方的合同金额占比，具体如下：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1、牵头方单位名称：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2、成员方：</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2.1（成员一的全称）：</w:t>
      </w:r>
      <w:r>
        <w:rPr>
          <w:rFonts w:ascii="宋体" w:hAnsi="宋体" w:eastAsia="宋体" w:cs="宋体"/>
          <w:color w:val="auto"/>
          <w:sz w:val="24"/>
          <w:szCs w:val="24"/>
          <w:highlight w:val="none"/>
          <w:u w:val="single"/>
        </w:rPr>
        <w:t>（填写“工作及义务的具体内容”）</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三、联合体各方约定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1、由</w:t>
      </w:r>
      <w:r>
        <w:rPr>
          <w:rFonts w:ascii="宋体" w:hAnsi="宋体" w:eastAsia="宋体" w:cs="宋体"/>
          <w:color w:val="auto"/>
          <w:sz w:val="24"/>
          <w:szCs w:val="24"/>
          <w:highlight w:val="none"/>
          <w:u w:val="single"/>
        </w:rPr>
        <w:t>（填写“牵头方的全称”）</w:t>
      </w:r>
      <w:r>
        <w:rPr>
          <w:rFonts w:ascii="宋体" w:hAnsi="宋体" w:eastAsia="宋体" w:cs="宋体"/>
          <w:color w:val="auto"/>
          <w:sz w:val="24"/>
          <w:szCs w:val="24"/>
          <w:highlight w:val="none"/>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2、联合体各方约定由（填写“牵头方的全称”）代表联合体办理谈判保证金事宜。</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四、若成交，牵头方将代表联合体与采购人就合同签订事宜进行协商；若协商一致，则联合体各方将共同与采购人签订政府采购合同，并就政府采购合同约定的事项对采购人承担连带责任。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五、本协议自签署之日起生效，政府采购合同履行完毕后自动失效。</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六、本协议一式</w:t>
      </w:r>
      <w:r>
        <w:rPr>
          <w:rFonts w:ascii="宋体" w:hAnsi="宋体" w:eastAsia="宋体" w:cs="宋体"/>
          <w:color w:val="auto"/>
          <w:sz w:val="24"/>
          <w:szCs w:val="24"/>
          <w:highlight w:val="none"/>
          <w:u w:val="single"/>
        </w:rPr>
        <w:t>（填写具体份数）</w:t>
      </w:r>
      <w:r>
        <w:rPr>
          <w:rFonts w:ascii="宋体" w:hAnsi="宋体" w:eastAsia="宋体" w:cs="宋体"/>
          <w:color w:val="auto"/>
          <w:sz w:val="24"/>
          <w:szCs w:val="24"/>
          <w:highlight w:val="none"/>
        </w:rPr>
        <w:t>份，联合体各方各执一份，响应文件中提交一份。</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（以下无正文）</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牵头方：</w:t>
      </w:r>
      <w:r>
        <w:rPr>
          <w:rFonts w:ascii="宋体" w:hAnsi="宋体" w:eastAsia="宋体" w:cs="宋体"/>
          <w:color w:val="auto"/>
          <w:sz w:val="24"/>
          <w:szCs w:val="24"/>
          <w:highlight w:val="none"/>
          <w:u w:val="single"/>
        </w:rPr>
        <w:t>（全称并加盖单位公章）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成员一：</w:t>
      </w:r>
      <w:r>
        <w:rPr>
          <w:rFonts w:ascii="宋体" w:hAnsi="宋体" w:eastAsia="宋体" w:cs="宋体"/>
          <w:color w:val="auto"/>
          <w:sz w:val="24"/>
          <w:szCs w:val="24"/>
          <w:highlight w:val="none"/>
          <w:u w:val="single"/>
        </w:rPr>
        <w:t>（全称并加盖成员一的单位公章）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成员**：</w:t>
      </w:r>
      <w:r>
        <w:rPr>
          <w:rFonts w:ascii="宋体" w:hAnsi="宋体" w:eastAsia="宋体" w:cs="宋体"/>
          <w:color w:val="auto"/>
          <w:sz w:val="24"/>
          <w:szCs w:val="24"/>
          <w:highlight w:val="none"/>
          <w:u w:val="single"/>
        </w:rPr>
        <w:t>（全称并加盖成员**的单位公章）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（签字或盖章）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1、若谈判文件规定接受联合体形式且供应商为联合体的，则供应商应提供本协议；否则无须提供。</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2、本协议中的供应商代表如果不是竞争性谈判须知中定义的“单位负责人”，则还必须提供“单位负责人授权书”。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3、在以联合体形式落实中小企业预留份额项目中，供应商除了要提供《中小企业声明函》，还需提供本协议。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附件3-11分包意向协议（若有）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甲方（总包方）：</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（即本项目的供应商）</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乙方（分包方）：</w:t>
      </w:r>
      <w:r>
        <w:rPr>
          <w:rFonts w:ascii="宋体" w:hAnsi="宋体" w:eastAsia="宋体" w:cs="宋体"/>
          <w:color w:val="auto"/>
          <w:sz w:val="24"/>
          <w:szCs w:val="24"/>
          <w:highlight w:val="none"/>
          <w:u w:val="single"/>
        </w:rPr>
        <w:t>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兹有甲方参加</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项目（项目编号：</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一、分包标的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u w:val="single"/>
        </w:rPr>
        <w:t>（根据双方的意向填写，可以是表格或文字描述）。</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二、分包合同金额占比</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分包合同价占报价总价的比例：</w:t>
      </w:r>
      <w:r>
        <w:rPr>
          <w:rFonts w:ascii="宋体" w:hAnsi="宋体" w:eastAsia="宋体" w:cs="宋体"/>
          <w:color w:val="auto"/>
          <w:sz w:val="24"/>
          <w:szCs w:val="24"/>
          <w:highlight w:val="none"/>
          <w:u w:val="single"/>
        </w:rPr>
        <w:t>　　　　　</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三、其他条款</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甲方：</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c>
          <w:tcPr>
            <w:tcW w:w="4153"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39"/>
              <w:spacing w:line="40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签订地点：</w:t>
            </w:r>
            <w:r>
              <w:rPr>
                <w:rFonts w:ascii="宋体" w:hAnsi="宋体" w:eastAsia="宋体" w:cs="宋体"/>
                <w:color w:val="auto"/>
                <w:sz w:val="24"/>
                <w:szCs w:val="24"/>
                <w:highlight w:val="none"/>
                <w:u w:val="single"/>
              </w:rPr>
              <w:t>　　　　　　　　　　</w:t>
            </w:r>
          </w:p>
          <w:p>
            <w:pPr>
              <w:pStyle w:val="39"/>
              <w:spacing w:line="400" w:lineRule="exact"/>
              <w:jc w:val="righ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签约日期：</w:t>
            </w:r>
            <w:r>
              <w:rPr>
                <w:rFonts w:ascii="宋体" w:hAnsi="宋体" w:eastAsia="宋体" w:cs="宋体"/>
                <w:color w:val="auto"/>
                <w:sz w:val="24"/>
                <w:szCs w:val="24"/>
                <w:highlight w:val="none"/>
                <w:u w:val="single"/>
              </w:rPr>
              <w:t>　　年　　月　　日</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1.谈判文件接受合同分包且供应商拟将合同分包的，应提供本协议；否则无须提供。</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2.本协议由委托代理人签字或盖章的，应按照本章载明的格式提供“单位授权书”。</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3.在以合同分包形式落实中小企业预留份额项目中，供应商除了要提供《中小企业声明函》，还需提供本协议。</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附件3-12 参加采购活动前三年内在经营活动中没有重大违法记录书面声明</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致：</w:t>
      </w:r>
      <w:r>
        <w:rPr>
          <w:rFonts w:ascii="宋体" w:hAnsi="宋体" w:eastAsia="宋体" w:cs="宋体"/>
          <w:color w:val="auto"/>
          <w:sz w:val="24"/>
          <w:szCs w:val="24"/>
          <w:highlight w:val="none"/>
          <w:u w:val="single"/>
        </w:rPr>
        <w:t>(采购人或采购代理机构)</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特此声明。</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1、“重大违法记录”指供应商因违法经营受到刑事处罚或责令停产停业、吊销许可证或执照、较大数额罚款等行政处罚。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2、请供应商根据实际情况如实声明，否则视为提供虚假材料。</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附件3-13 其它资格证明文件</w:t>
      </w:r>
    </w:p>
    <w:p>
      <w:pPr>
        <w:pStyle w:val="39"/>
        <w:spacing w:line="400" w:lineRule="exact"/>
        <w:jc w:val="center"/>
        <w:outlineLvl w:val="1"/>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（若有）</w:t>
      </w:r>
    </w:p>
    <w:p>
      <w:pPr>
        <w:pStyle w:val="39"/>
        <w:spacing w:line="400" w:lineRule="exact"/>
        <w:jc w:val="center"/>
        <w:outlineLvl w:val="1"/>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2、若谈判文件规定接受联合体形式且供应商为联合体的，涉及联合体成员的其它资格证明文件在此处提供相关证明材料，并加盖供应商单位公章。</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附件4 谈判保证金凭证</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编制说明</w:t>
      </w:r>
    </w:p>
    <w:p>
      <w:pPr>
        <w:pStyle w:val="39"/>
        <w:spacing w:line="400" w:lineRule="exact"/>
        <w:jc w:val="center"/>
        <w:rPr>
          <w:rFonts w:hint="default" w:ascii="宋体" w:hAnsi="宋体" w:eastAsia="宋体" w:cs="宋体"/>
          <w:color w:val="auto"/>
          <w:sz w:val="24"/>
          <w:szCs w:val="24"/>
          <w:highlight w:val="none"/>
        </w:rPr>
      </w:pPr>
    </w:p>
    <w:p>
      <w:pPr>
        <w:pStyle w:val="39"/>
        <w:numPr>
          <w:ilvl w:val="0"/>
          <w:numId w:val="6"/>
        </w:numPr>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在此项下提交的“谈判保证金”材料可使用转账凭证复印件</w:t>
      </w:r>
    </w:p>
    <w:p>
      <w:pPr>
        <w:pStyle w:val="39"/>
        <w:spacing w:line="400" w:lineRule="exact"/>
        <w:rPr>
          <w:rFonts w:hint="default" w:ascii="宋体" w:hAnsi="宋体" w:eastAsia="宋体" w:cs="宋体"/>
          <w:color w:val="auto"/>
          <w:sz w:val="24"/>
          <w:szCs w:val="24"/>
          <w:highlight w:val="none"/>
        </w:rPr>
      </w:pPr>
    </w:p>
    <w:p>
      <w:pPr>
        <w:pStyle w:val="39"/>
        <w:spacing w:line="400" w:lineRule="exact"/>
        <w:ind w:firstLine="480" w:firstLineChars="20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2、谈判保证金是否已提交按照谈判文件规定执行。</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附件5：技术、服务和商务响应表</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附件5-1：技术和服务要求响应表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竞争性谈判文件规定的技术和服务要求</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 xml:space="preserve">附件5-2 商务条件和其它事项响应表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（全称加盖单位公章）</w:t>
      </w:r>
      <w:r>
        <w:rPr>
          <w:rFonts w:ascii="宋体" w:hAnsi="宋体" w:eastAsia="宋体" w:cs="宋体"/>
          <w:color w:val="auto"/>
          <w:sz w:val="24"/>
          <w:szCs w:val="24"/>
          <w:highlight w:val="none"/>
        </w:rPr>
        <w:t>项目编号∶</w:t>
      </w:r>
      <w:r>
        <w:rPr>
          <w:rFonts w:ascii="宋体" w:hAnsi="宋体" w:eastAsia="宋体" w:cs="宋体"/>
          <w:color w:val="auto"/>
          <w:sz w:val="24"/>
          <w:szCs w:val="24"/>
          <w:highlight w:val="none"/>
          <w:u w:val="single"/>
        </w:rPr>
        <w:t xml:space="preserve">    </w:t>
      </w:r>
    </w:p>
    <w:tbl>
      <w:tblPr>
        <w:tblStyle w:val="2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章节条目号</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竞争性谈判文件规定的商务条件要求</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响应文件响应承诺</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709" w:type="dxa"/>
          </w:tcPr>
          <w:p>
            <w:pPr>
              <w:spacing w:line="400" w:lineRule="exact"/>
              <w:rPr>
                <w:rFonts w:ascii="宋体" w:hAnsi="宋体" w:eastAsia="宋体" w:cs="宋体"/>
                <w:color w:val="auto"/>
                <w:sz w:val="24"/>
                <w:szCs w:val="24"/>
                <w:highlight w:val="none"/>
              </w:rPr>
            </w:pPr>
          </w:p>
        </w:tc>
        <w:tc>
          <w:tcPr>
            <w:tcW w:w="1519"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6"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bl>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供应商代表签字：</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 xml:space="preserve"> </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附件6 相关技术、商务、服务响应承诺及资料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2.如果没有特别要求的，供应商根据谈判文件的要求以及特点，提供相关技术、商务、服务响应承诺及资料，格式自拟。</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 供应商提交符合政府采购政策的证明材料</w:t>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附件7-1-1 中小企业声明函（若有）</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中小企业声明函（货物）</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郑重声明，根据《政府采购促进中小企业发展管理办法》（财库﹝2020﹞46号）的规定，本公司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行业；制造商为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企业名称（盖章）：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中小企业声明函（工程、服务）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郑重声明，根据《政府采购促进中小企业发展管理办法》（财库﹝2020﹞46号）的规定，本公司</w:t>
      </w:r>
      <w:r>
        <w:rPr>
          <w:rFonts w:ascii="宋体" w:hAnsi="宋体" w:eastAsia="宋体" w:cs="宋体"/>
          <w:color w:val="auto"/>
          <w:sz w:val="24"/>
          <w:szCs w:val="24"/>
          <w:highlight w:val="none"/>
          <w:u w:val="single"/>
        </w:rPr>
        <w:t>（联合体）</w:t>
      </w:r>
      <w:r>
        <w:rPr>
          <w:rFonts w:ascii="宋体" w:hAnsi="宋体" w:eastAsia="宋体" w:cs="宋体"/>
          <w:color w:val="auto"/>
          <w:sz w:val="24"/>
          <w:szCs w:val="24"/>
          <w:highlight w:val="none"/>
        </w:rPr>
        <w:t>参加</w:t>
      </w:r>
      <w:r>
        <w:rPr>
          <w:rFonts w:ascii="宋体" w:hAnsi="宋体" w:eastAsia="宋体" w:cs="宋体"/>
          <w:color w:val="auto"/>
          <w:sz w:val="24"/>
          <w:szCs w:val="24"/>
          <w:highlight w:val="none"/>
          <w:u w:val="single"/>
        </w:rPr>
        <w:t>（单位名称）</w:t>
      </w:r>
      <w:r>
        <w:rPr>
          <w:rFonts w:ascii="宋体" w:hAnsi="宋体" w:eastAsia="宋体" w:cs="宋体"/>
          <w:color w:val="auto"/>
          <w:sz w:val="24"/>
          <w:szCs w:val="24"/>
          <w:highlight w:val="none"/>
        </w:rPr>
        <w:t>的</w:t>
      </w:r>
      <w:r>
        <w:rPr>
          <w:rFonts w:ascii="宋体" w:hAnsi="宋体" w:eastAsia="宋体" w:cs="宋体"/>
          <w:color w:val="auto"/>
          <w:sz w:val="24"/>
          <w:szCs w:val="24"/>
          <w:highlight w:val="none"/>
          <w:u w:val="single"/>
        </w:rPr>
        <w:t>（项目名称）</w:t>
      </w:r>
      <w:r>
        <w:rPr>
          <w:rFonts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r>
        <w:rPr>
          <w:rFonts w:ascii="宋体" w:hAnsi="宋体" w:eastAsia="宋体" w:cs="宋体"/>
          <w:color w:val="auto"/>
          <w:sz w:val="24"/>
          <w:szCs w:val="24"/>
          <w:highlight w:val="none"/>
          <w:u w:val="single"/>
        </w:rPr>
        <w:t>（标的名称）</w:t>
      </w:r>
      <w:r>
        <w:rPr>
          <w:rFonts w:ascii="宋体" w:hAnsi="宋体" w:eastAsia="宋体" w:cs="宋体"/>
          <w:color w:val="auto"/>
          <w:sz w:val="24"/>
          <w:szCs w:val="24"/>
          <w:highlight w:val="none"/>
        </w:rPr>
        <w:t>，属于</w:t>
      </w:r>
      <w:r>
        <w:rPr>
          <w:rFonts w:ascii="宋体" w:hAnsi="宋体" w:eastAsia="宋体" w:cs="宋体"/>
          <w:color w:val="auto"/>
          <w:sz w:val="24"/>
          <w:szCs w:val="24"/>
          <w:highlight w:val="none"/>
          <w:u w:val="single"/>
        </w:rPr>
        <w:t>（采购文件中明确的所属行业）</w:t>
      </w:r>
      <w:r>
        <w:rPr>
          <w:rFonts w:ascii="宋体" w:hAnsi="宋体" w:eastAsia="宋体" w:cs="宋体"/>
          <w:color w:val="auto"/>
          <w:sz w:val="24"/>
          <w:szCs w:val="24"/>
          <w:highlight w:val="none"/>
        </w:rPr>
        <w:t>行业；承建（承接）企业为</w:t>
      </w:r>
      <w:r>
        <w:rPr>
          <w:rFonts w:ascii="宋体" w:hAnsi="宋体" w:eastAsia="宋体" w:cs="宋体"/>
          <w:color w:val="auto"/>
          <w:sz w:val="24"/>
          <w:szCs w:val="24"/>
          <w:highlight w:val="none"/>
          <w:u w:val="single"/>
        </w:rPr>
        <w:t>（企业名称）</w:t>
      </w:r>
      <w:r>
        <w:rPr>
          <w:rFonts w:ascii="宋体" w:hAnsi="宋体" w:eastAsia="宋体" w:cs="宋体"/>
          <w:color w:val="auto"/>
          <w:sz w:val="24"/>
          <w:szCs w:val="24"/>
          <w:highlight w:val="none"/>
        </w:rPr>
        <w:t>，从业人员</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人，营业收入为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万元，资产总额为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万元1，属于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以上企业，不属于大企业的分支机构，不存在控股股东为大企业的情形，也不存在与大企业的负责人为同一人的情形。</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本企业对上述声明内容的真实性负责。如有虚假，将依法承担相应责任。</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企业名称（盖章）：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1、从业人员、营业收入、资产总额填报上一年度数据，无上一年度数据的新成立企业可不填报。</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r>
        <w:rPr>
          <w:rFonts w:ascii="宋体" w:hAnsi="宋体" w:eastAsia="宋体" w:cs="宋体"/>
          <w:b/>
          <w:color w:val="auto"/>
          <w:sz w:val="24"/>
          <w:szCs w:val="24"/>
          <w:highlight w:val="none"/>
        </w:rPr>
        <w:t>附件7-1-2 残疾人福利性单位声明函（若有）</w:t>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ascii="宋体" w:hAnsi="宋体" w:eastAsia="宋体" w:cs="宋体"/>
          <w:color w:val="auto"/>
          <w:sz w:val="24"/>
          <w:szCs w:val="24"/>
          <w:highlight w:val="none"/>
          <w:u w:val="single"/>
        </w:rPr>
        <w:t>（填写“项目名称”）</w:t>
      </w:r>
      <w:r>
        <w:rPr>
          <w:rFonts w:ascii="宋体" w:hAnsi="宋体" w:eastAsia="宋体" w:cs="宋体"/>
          <w:color w:val="auto"/>
          <w:sz w:val="24"/>
          <w:szCs w:val="24"/>
          <w:highlight w:val="none"/>
        </w:rPr>
        <w:t>项目采购活动：</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（）提供本供应商制造的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货物，或提供其他残疾人福利性单位制造的</w:t>
      </w:r>
      <w:r>
        <w:rPr>
          <w:rFonts w:ascii="宋体" w:hAnsi="宋体" w:eastAsia="宋体" w:cs="宋体"/>
          <w:color w:val="auto"/>
          <w:sz w:val="24"/>
          <w:szCs w:val="24"/>
          <w:highlight w:val="none"/>
          <w:u w:val="single"/>
        </w:rPr>
        <w:t>（不包括使用非残疾人福利性单位注册商标的货物）</w:t>
      </w:r>
      <w:r>
        <w:rPr>
          <w:rFonts w:ascii="宋体" w:hAnsi="宋体" w:eastAsia="宋体" w:cs="宋体"/>
          <w:color w:val="auto"/>
          <w:sz w:val="24"/>
          <w:szCs w:val="24"/>
          <w:highlight w:val="none"/>
        </w:rPr>
        <w:t>货物。（说明：只有部分货物由残疾人福利企业制造的，在该货物后标★）</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（）由本供应商承建的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工程</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（）由本供应商承接的</w:t>
      </w:r>
      <w:r>
        <w:rPr>
          <w:rFonts w:ascii="宋体" w:hAnsi="宋体" w:eastAsia="宋体" w:cs="宋体"/>
          <w:color w:val="auto"/>
          <w:sz w:val="24"/>
          <w:szCs w:val="24"/>
          <w:highlight w:val="none"/>
          <w:u w:val="single"/>
        </w:rPr>
        <w:t>（填写“所投采购包、品目号”）</w:t>
      </w:r>
      <w:r>
        <w:rPr>
          <w:rFonts w:ascii="宋体" w:hAnsi="宋体" w:eastAsia="宋体" w:cs="宋体"/>
          <w:color w:val="auto"/>
          <w:sz w:val="24"/>
          <w:szCs w:val="24"/>
          <w:highlight w:val="none"/>
        </w:rPr>
        <w:t>服务；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本供应商对上述声明的真实性负责。如有虚假，将依法承担相应责任。</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日</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若供应商不符合残疾人福利性单位，不用提供本声明函，否则视为提供虚假材料。供应商在提交最后报价前，如果已向磋商小组提交上述声明函，视同为供应商符合残疾人福利性单位，享受价格扣除的优惠政策。</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（2）请供应商按照实际情况编制填写本声明函，并在相应的（）中打“√”。</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（3）纸质响应文件正本中的本声明函（若有）应为原件。</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（4）若《残疾人福利性单位声明函》内容不真实，视为提供虚假材料。</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b/>
          <w:color w:val="auto"/>
          <w:sz w:val="24"/>
          <w:szCs w:val="24"/>
          <w:highlight w:val="none"/>
        </w:rPr>
      </w:pP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附件7-1-3 监狱企业证明材料</w:t>
      </w:r>
      <w:r>
        <w:rPr>
          <w:rFonts w:ascii="宋体" w:hAnsi="宋体" w:eastAsia="宋体" w:cs="宋体"/>
          <w:color w:val="auto"/>
          <w:sz w:val="24"/>
          <w:szCs w:val="24"/>
          <w:highlight w:val="none"/>
        </w:rPr>
        <w:t>供应商为监狱企业，提供本单位制造的货物（承接的服务），并在响应文件中提供省级以上监狱管理局、戒毒管理局（含新疆生产建设兵团）出具的属于监狱企业的证明文件。</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附件7-2优先类节能产品、环境标志产品价格扣除证明材料（若有）</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tbl>
      <w:tblPr>
        <w:tblStyle w:val="20"/>
        <w:tblW w:w="995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1661"/>
        <w:gridCol w:w="1661"/>
        <w:gridCol w:w="1661"/>
        <w:gridCol w:w="1288"/>
        <w:gridCol w:w="202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spacing w:line="400" w:lineRule="exact"/>
              <w:rPr>
                <w:rFonts w:ascii="宋体" w:hAnsi="宋体" w:eastAsia="宋体" w:cs="宋体"/>
                <w:color w:val="auto"/>
                <w:sz w:val="24"/>
                <w:szCs w:val="24"/>
                <w:highlight w:val="none"/>
              </w:rPr>
            </w:pPr>
          </w:p>
        </w:tc>
        <w:tc>
          <w:tcPr>
            <w:tcW w:w="9122" w:type="dxa"/>
            <w:gridSpan w:val="6"/>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采购包</w:t>
            </w: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品目号</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产品名称</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最后报价单（现场）</w:t>
            </w:r>
          </w:p>
        </w:tc>
        <w:tc>
          <w:tcPr>
            <w:tcW w:w="166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数量</w:t>
            </w:r>
          </w:p>
        </w:tc>
        <w:tc>
          <w:tcPr>
            <w:tcW w:w="1288"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最后报价总价（现场）</w:t>
            </w:r>
          </w:p>
        </w:tc>
        <w:tc>
          <w:tcPr>
            <w:tcW w:w="2020"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vMerge w:val="restart"/>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288"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vMerge w:val="continue"/>
          </w:tcPr>
          <w:p>
            <w:pPr>
              <w:spacing w:line="400" w:lineRule="exact"/>
              <w:rPr>
                <w:rFonts w:ascii="宋体" w:hAnsi="宋体" w:eastAsia="宋体" w:cs="宋体"/>
                <w:color w:val="auto"/>
                <w:sz w:val="24"/>
                <w:szCs w:val="24"/>
                <w:highlight w:val="none"/>
              </w:rPr>
            </w:pPr>
          </w:p>
        </w:tc>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661"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1288"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c>
          <w:tcPr>
            <w:tcW w:w="2020" w:type="dxa"/>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39"/>
              <w:spacing w:line="400" w:lineRule="exact"/>
              <w:jc w:val="center"/>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备注</w:t>
            </w:r>
          </w:p>
        </w:tc>
        <w:tc>
          <w:tcPr>
            <w:tcW w:w="9122" w:type="dxa"/>
            <w:gridSpan w:val="6"/>
          </w:tcPr>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a.采购包内属于节能、环境标志产品的报价总金额：</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b.采购包投标总价（报价总金额）：</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c.“采购包内属于节能、环境标志产品的报价总金额”占“采购包投标总价（报价总金额）”的比例（以%列示）：</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rPr>
              <w:t>；</w:t>
            </w:r>
          </w:p>
        </w:tc>
      </w:tr>
    </w:tbl>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※注意：</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1、对“节能、环境标志产品”计算价格扣除时，只依据响应文件提交的材料。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2、本表以采购包为单位，不同采购包请分别填写；单个采购包请按照其品目号顺序分别填写。</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3、具体统计、计算：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3.1若同一采购包内的单个或多个货物取得或同时取得节能、环境标志产品等两项或多项认证的，均按照单个货物对应一项认证的原则统计、计算1次。</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3.2计算结果若除不尽，可四舍五入保留到小数点后两位。</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3.3供应商应按照谈判文件上表要求认真统计、计算，否则谈判小组可不予认定。</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3.4若无节能、环境标志产品，不填写本表，否则，视为提供虚假材料。</w:t>
      </w:r>
    </w:p>
    <w:p>
      <w:pPr>
        <w:pStyle w:val="39"/>
        <w:spacing w:line="400" w:lineRule="exact"/>
        <w:ind w:firstLine="480"/>
        <w:rPr>
          <w:rFonts w:hint="default" w:ascii="宋体" w:hAnsi="宋体" w:eastAsia="宋体" w:cs="宋体"/>
          <w:color w:val="auto"/>
          <w:sz w:val="24"/>
          <w:szCs w:val="24"/>
          <w:highlight w:val="none"/>
          <w:lang w:eastAsia="zh-CN"/>
        </w:rPr>
      </w:pPr>
      <w:r>
        <w:rPr>
          <w:rFonts w:ascii="宋体" w:hAnsi="宋体" w:eastAsia="宋体" w:cs="宋体"/>
          <w:color w:val="auto"/>
          <w:sz w:val="24"/>
          <w:szCs w:val="24"/>
          <w:highlight w:val="none"/>
        </w:rPr>
        <w:t>3.5强制类节能产品不享受价格扣除。</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lang w:eastAsia="zh-CN"/>
        </w:rPr>
        <w:t xml:space="preserve">    </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pStyle w:val="39"/>
        <w:spacing w:line="400" w:lineRule="exact"/>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 xml:space="preserve"> </w:t>
      </w:r>
    </w:p>
    <w:p>
      <w:pP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br w:type="page"/>
      </w:r>
    </w:p>
    <w:p>
      <w:pPr>
        <w:pStyle w:val="39"/>
        <w:spacing w:line="400" w:lineRule="exact"/>
        <w:jc w:val="center"/>
        <w:outlineLvl w:val="2"/>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附件8 要求作为响应文件组成部分的其他内容（若有）</w:t>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说明：</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2、供应商根据自身实际情况编写有关资料包括如供应商单位简介、竞争性谈判文件要求提供或供应商自已认为体现自身优势，需要补充说明的其它资料，格式自拟。</w:t>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r>
        <w:rPr>
          <w:rFonts w:ascii="宋体" w:hAnsi="宋体" w:eastAsia="宋体" w:cs="宋体"/>
          <w:color w:val="auto"/>
          <w:sz w:val="24"/>
          <w:szCs w:val="24"/>
          <w:highlight w:val="none"/>
        </w:rPr>
        <w:br w:type="textWrapping"/>
      </w:r>
    </w:p>
    <w:p>
      <w:pPr>
        <w:pStyle w:val="39"/>
        <w:spacing w:line="400" w:lineRule="exact"/>
        <w:ind w:firstLine="480"/>
        <w:rPr>
          <w:rFonts w:hint="default" w:ascii="宋体" w:hAnsi="宋体" w:eastAsia="宋体" w:cs="宋体"/>
          <w:color w:val="auto"/>
          <w:sz w:val="24"/>
          <w:szCs w:val="24"/>
          <w:highlight w:val="none"/>
        </w:rPr>
      </w:pP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供应商代表</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（签字）</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供应商名称</w:t>
      </w:r>
      <w:r>
        <w:rPr>
          <w:rFonts w:ascii="宋体" w:hAnsi="宋体" w:eastAsia="宋体" w:cs="宋体"/>
          <w:color w:val="auto"/>
          <w:sz w:val="24"/>
          <w:szCs w:val="24"/>
          <w:highlight w:val="none"/>
          <w:lang w:eastAsia="zh-CN"/>
        </w:rPr>
        <w:t>：</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u w:val="single"/>
        </w:rPr>
        <w:t>（全称并加盖公章）</w:t>
      </w:r>
    </w:p>
    <w:p>
      <w:pPr>
        <w:pStyle w:val="39"/>
        <w:spacing w:line="400" w:lineRule="exact"/>
        <w:ind w:firstLine="480"/>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日期：</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年</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月</w:t>
      </w:r>
      <w:r>
        <w:rPr>
          <w:rFonts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rPr>
        <w:t>日</w:t>
      </w:r>
    </w:p>
    <w:p>
      <w:pPr>
        <w:pStyle w:val="39"/>
        <w:spacing w:line="400" w:lineRule="exact"/>
        <w:rPr>
          <w:rFonts w:hint="default" w:ascii="宋体" w:hAnsi="宋体" w:eastAsia="宋体" w:cs="宋体"/>
          <w:color w:val="auto"/>
          <w:sz w:val="24"/>
          <w:szCs w:val="24"/>
          <w:highlight w:val="none"/>
        </w:rPr>
      </w:pPr>
    </w:p>
    <w:p>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sectPr>
      <w:pgSz w:w="11907" w:h="16840"/>
      <w:pgMar w:top="1134" w:right="1315" w:bottom="1134" w:left="1134" w:header="567" w:footer="567"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Adobe 仿宋 Std R">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78</w:t>
                    </w:r>
                    <w:r>
                      <w:fldChar w:fldCharType="end"/>
                    </w:r>
                    <w:r>
                      <w:t xml:space="preserve"> 页</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eastAsia" w:eastAsiaTheme="minorEastAsia"/>
        <w:lang w:eastAsia="zh-CN"/>
      </w:rPr>
    </w:pPr>
    <w:r>
      <w:rPr>
        <w:rFonts w:hint="eastAsia"/>
      </w:rPr>
      <w:t xml:space="preserve">谈判文件                                                           </w:t>
    </w:r>
    <w:r>
      <w:rPr>
        <w:rFonts w:hint="eastAsia"/>
        <w:lang w:eastAsia="zh-CN"/>
      </w:rPr>
      <w:t>建融建设管理集团有限责任公司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67120B"/>
    <w:multiLevelType w:val="singleLevel"/>
    <w:tmpl w:val="B367120B"/>
    <w:lvl w:ilvl="0" w:tentative="0">
      <w:start w:val="1"/>
      <w:numFmt w:val="decimal"/>
      <w:suff w:val="nothing"/>
      <w:lvlText w:val="%1、"/>
      <w:lvlJc w:val="left"/>
    </w:lvl>
  </w:abstractNum>
  <w:abstractNum w:abstractNumId="1">
    <w:nsid w:val="B71AD1BA"/>
    <w:multiLevelType w:val="singleLevel"/>
    <w:tmpl w:val="B71AD1BA"/>
    <w:lvl w:ilvl="0" w:tentative="0">
      <w:start w:val="2"/>
      <w:numFmt w:val="chineseCounting"/>
      <w:suff w:val="nothing"/>
      <w:lvlText w:val="%1、"/>
      <w:lvlJc w:val="left"/>
      <w:rPr>
        <w:rFonts w:hint="eastAsia"/>
      </w:rPr>
    </w:lvl>
  </w:abstractNum>
  <w:abstractNum w:abstractNumId="2">
    <w:nsid w:val="00000002"/>
    <w:multiLevelType w:val="singleLevel"/>
    <w:tmpl w:val="00000002"/>
    <w:lvl w:ilvl="0" w:tentative="0">
      <w:start w:val="1"/>
      <w:numFmt w:val="decimal"/>
      <w:suff w:val="nothing"/>
      <w:lvlText w:val="%1、"/>
      <w:lvlJc w:val="left"/>
      <w:rPr>
        <w:rFonts w:cs="Times New Roman"/>
      </w:rPr>
    </w:lvl>
  </w:abstractNum>
  <w:abstractNum w:abstractNumId="3">
    <w:nsid w:val="137530D4"/>
    <w:multiLevelType w:val="singleLevel"/>
    <w:tmpl w:val="137530D4"/>
    <w:lvl w:ilvl="0" w:tentative="0">
      <w:start w:val="5"/>
      <w:numFmt w:val="chineseCounting"/>
      <w:suff w:val="space"/>
      <w:lvlText w:val="第%1章"/>
      <w:lvlJc w:val="left"/>
      <w:rPr>
        <w:rFonts w:hint="eastAsia"/>
      </w:rPr>
    </w:lvl>
  </w:abstractNum>
  <w:abstractNum w:abstractNumId="4">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pStyle w:val="33"/>
      <w:lvlText w:val="%1.%2"/>
      <w:lvlJc w:val="left"/>
      <w:pPr>
        <w:tabs>
          <w:tab w:val="left" w:pos="900"/>
        </w:tabs>
        <w:ind w:left="900" w:hanging="900"/>
      </w:pPr>
      <w:rPr>
        <w:rFonts w:hint="eastAsia" w:ascii="宋体" w:hAnsi="宋体" w:eastAsia="宋体"/>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5">
    <w:nsid w:val="7BDBF4B4"/>
    <w:multiLevelType w:val="singleLevel"/>
    <w:tmpl w:val="7BDBF4B4"/>
    <w:lvl w:ilvl="0" w:tentative="0">
      <w:start w:val="1"/>
      <w:numFmt w:val="chineseCounting"/>
      <w:suff w:val="nothing"/>
      <w:lvlText w:val="%1、"/>
      <w:lvlJc w:val="left"/>
      <w:rPr>
        <w:rFonts w:hint="eastAsia"/>
      </w:rPr>
    </w:lvl>
  </w:abstractNum>
  <w:num w:numId="1">
    <w:abstractNumId w:val="4"/>
  </w:num>
  <w:num w:numId="2">
    <w:abstractNumId w:val="2"/>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5Mzc0ZjU3YWIwYWM4NzRkOGUyYTIyYzU3YzdmN2MifQ=="/>
  </w:docVars>
  <w:rsids>
    <w:rsidRoot w:val="0042716B"/>
    <w:rsid w:val="000B5232"/>
    <w:rsid w:val="000C08BF"/>
    <w:rsid w:val="000E5DE3"/>
    <w:rsid w:val="000E7B41"/>
    <w:rsid w:val="00126C7E"/>
    <w:rsid w:val="00180D37"/>
    <w:rsid w:val="001A58D4"/>
    <w:rsid w:val="001E10A4"/>
    <w:rsid w:val="00214AB9"/>
    <w:rsid w:val="00257D40"/>
    <w:rsid w:val="00280221"/>
    <w:rsid w:val="002938FA"/>
    <w:rsid w:val="002D769F"/>
    <w:rsid w:val="002F29CE"/>
    <w:rsid w:val="00303DE8"/>
    <w:rsid w:val="00326A31"/>
    <w:rsid w:val="00352D51"/>
    <w:rsid w:val="003B3AE9"/>
    <w:rsid w:val="003B6288"/>
    <w:rsid w:val="003B6870"/>
    <w:rsid w:val="003F2A1E"/>
    <w:rsid w:val="00412997"/>
    <w:rsid w:val="00416FA0"/>
    <w:rsid w:val="0042716B"/>
    <w:rsid w:val="004426E3"/>
    <w:rsid w:val="00462B5E"/>
    <w:rsid w:val="004772DA"/>
    <w:rsid w:val="004F3BF0"/>
    <w:rsid w:val="005434AC"/>
    <w:rsid w:val="00586432"/>
    <w:rsid w:val="006430FB"/>
    <w:rsid w:val="00675635"/>
    <w:rsid w:val="006814FF"/>
    <w:rsid w:val="00693180"/>
    <w:rsid w:val="00695957"/>
    <w:rsid w:val="00782106"/>
    <w:rsid w:val="007F137A"/>
    <w:rsid w:val="008010B5"/>
    <w:rsid w:val="00887391"/>
    <w:rsid w:val="008B165D"/>
    <w:rsid w:val="008B5461"/>
    <w:rsid w:val="008F63E4"/>
    <w:rsid w:val="00905A04"/>
    <w:rsid w:val="00944B31"/>
    <w:rsid w:val="00944C89"/>
    <w:rsid w:val="00977945"/>
    <w:rsid w:val="00985112"/>
    <w:rsid w:val="00A0629D"/>
    <w:rsid w:val="00A12AF8"/>
    <w:rsid w:val="00A31C9A"/>
    <w:rsid w:val="00AB4D6A"/>
    <w:rsid w:val="00AC09A4"/>
    <w:rsid w:val="00AD5D14"/>
    <w:rsid w:val="00B108C0"/>
    <w:rsid w:val="00B418BD"/>
    <w:rsid w:val="00B638BF"/>
    <w:rsid w:val="00B654D2"/>
    <w:rsid w:val="00B717FA"/>
    <w:rsid w:val="00BC0D9B"/>
    <w:rsid w:val="00BF0E5D"/>
    <w:rsid w:val="00C03BBE"/>
    <w:rsid w:val="00C331EE"/>
    <w:rsid w:val="00C46B29"/>
    <w:rsid w:val="00C51837"/>
    <w:rsid w:val="00CC027A"/>
    <w:rsid w:val="00CC4B3C"/>
    <w:rsid w:val="00D006AD"/>
    <w:rsid w:val="00D05825"/>
    <w:rsid w:val="00D27678"/>
    <w:rsid w:val="00D34522"/>
    <w:rsid w:val="00D65D38"/>
    <w:rsid w:val="00D71A2B"/>
    <w:rsid w:val="00D932B2"/>
    <w:rsid w:val="00DC4C2D"/>
    <w:rsid w:val="00DF4671"/>
    <w:rsid w:val="00E75148"/>
    <w:rsid w:val="00E80F05"/>
    <w:rsid w:val="00EC07A7"/>
    <w:rsid w:val="00EC6FE3"/>
    <w:rsid w:val="00F06F5C"/>
    <w:rsid w:val="00F55ABB"/>
    <w:rsid w:val="00FB4092"/>
    <w:rsid w:val="00FB7F81"/>
    <w:rsid w:val="00FE13EB"/>
    <w:rsid w:val="01B814A8"/>
    <w:rsid w:val="03563D39"/>
    <w:rsid w:val="039E3CD7"/>
    <w:rsid w:val="03E009AF"/>
    <w:rsid w:val="0483114D"/>
    <w:rsid w:val="05467946"/>
    <w:rsid w:val="05EC6CE2"/>
    <w:rsid w:val="074F00A6"/>
    <w:rsid w:val="075465D2"/>
    <w:rsid w:val="090E3218"/>
    <w:rsid w:val="09ED2E9B"/>
    <w:rsid w:val="0AE65299"/>
    <w:rsid w:val="0B116715"/>
    <w:rsid w:val="0B584344"/>
    <w:rsid w:val="0B5A5C74"/>
    <w:rsid w:val="0B8D28BE"/>
    <w:rsid w:val="0BEF333E"/>
    <w:rsid w:val="0CA77331"/>
    <w:rsid w:val="0D731909"/>
    <w:rsid w:val="0DC25040"/>
    <w:rsid w:val="0E3A4DB4"/>
    <w:rsid w:val="0EF80CCA"/>
    <w:rsid w:val="0FAE5983"/>
    <w:rsid w:val="101618EA"/>
    <w:rsid w:val="10756BA5"/>
    <w:rsid w:val="10B97CF6"/>
    <w:rsid w:val="11657F77"/>
    <w:rsid w:val="12CE0A0F"/>
    <w:rsid w:val="12D15108"/>
    <w:rsid w:val="14360B88"/>
    <w:rsid w:val="143D42AB"/>
    <w:rsid w:val="14A90FC7"/>
    <w:rsid w:val="14ED63AE"/>
    <w:rsid w:val="14F91789"/>
    <w:rsid w:val="15B900BC"/>
    <w:rsid w:val="15E909BB"/>
    <w:rsid w:val="16953841"/>
    <w:rsid w:val="16AD19E8"/>
    <w:rsid w:val="17E342FA"/>
    <w:rsid w:val="19DB5148"/>
    <w:rsid w:val="1AC75FC3"/>
    <w:rsid w:val="1C5919C9"/>
    <w:rsid w:val="1E472722"/>
    <w:rsid w:val="1F044597"/>
    <w:rsid w:val="1F1D0144"/>
    <w:rsid w:val="20286583"/>
    <w:rsid w:val="20B75BF0"/>
    <w:rsid w:val="21843685"/>
    <w:rsid w:val="21882EBA"/>
    <w:rsid w:val="230528CE"/>
    <w:rsid w:val="23530A89"/>
    <w:rsid w:val="23583A1F"/>
    <w:rsid w:val="24D559D2"/>
    <w:rsid w:val="25B85B8E"/>
    <w:rsid w:val="26767AD1"/>
    <w:rsid w:val="27AF379E"/>
    <w:rsid w:val="284B1061"/>
    <w:rsid w:val="28696EE5"/>
    <w:rsid w:val="286F521C"/>
    <w:rsid w:val="29CC669C"/>
    <w:rsid w:val="2A754BCA"/>
    <w:rsid w:val="2AB91DB1"/>
    <w:rsid w:val="2BDD46C6"/>
    <w:rsid w:val="2BF126F3"/>
    <w:rsid w:val="2C5A6534"/>
    <w:rsid w:val="2CB00E75"/>
    <w:rsid w:val="2D6D7FA6"/>
    <w:rsid w:val="2D962A04"/>
    <w:rsid w:val="2D9E2EE5"/>
    <w:rsid w:val="2DD13C2E"/>
    <w:rsid w:val="2E7E4B85"/>
    <w:rsid w:val="2EA05067"/>
    <w:rsid w:val="2EE144CD"/>
    <w:rsid w:val="300C3217"/>
    <w:rsid w:val="300F4001"/>
    <w:rsid w:val="30E01A90"/>
    <w:rsid w:val="3101379B"/>
    <w:rsid w:val="31AB35AC"/>
    <w:rsid w:val="31C22ACF"/>
    <w:rsid w:val="321D63AD"/>
    <w:rsid w:val="328E21AE"/>
    <w:rsid w:val="32DE1AD7"/>
    <w:rsid w:val="334B5B1C"/>
    <w:rsid w:val="34DB5576"/>
    <w:rsid w:val="36581519"/>
    <w:rsid w:val="376615D3"/>
    <w:rsid w:val="378E2D18"/>
    <w:rsid w:val="37F94829"/>
    <w:rsid w:val="39666AB2"/>
    <w:rsid w:val="3A2B484E"/>
    <w:rsid w:val="3B911073"/>
    <w:rsid w:val="3B9C3A14"/>
    <w:rsid w:val="3C4A529B"/>
    <w:rsid w:val="3CE97781"/>
    <w:rsid w:val="3D073351"/>
    <w:rsid w:val="3D6469F5"/>
    <w:rsid w:val="3D97612B"/>
    <w:rsid w:val="41921187"/>
    <w:rsid w:val="429C6D8D"/>
    <w:rsid w:val="42CE53D3"/>
    <w:rsid w:val="451E487F"/>
    <w:rsid w:val="45240C6D"/>
    <w:rsid w:val="4533185E"/>
    <w:rsid w:val="47470193"/>
    <w:rsid w:val="47BA4ED4"/>
    <w:rsid w:val="495C359F"/>
    <w:rsid w:val="49AC2D5E"/>
    <w:rsid w:val="4A0F1148"/>
    <w:rsid w:val="4A57474B"/>
    <w:rsid w:val="4B9B2B7F"/>
    <w:rsid w:val="4CFB2E9B"/>
    <w:rsid w:val="4D684E6F"/>
    <w:rsid w:val="4E2860EC"/>
    <w:rsid w:val="4E9D737A"/>
    <w:rsid w:val="4EDA5492"/>
    <w:rsid w:val="4EF676C9"/>
    <w:rsid w:val="4F0C6889"/>
    <w:rsid w:val="4F642884"/>
    <w:rsid w:val="502B68C1"/>
    <w:rsid w:val="5064000F"/>
    <w:rsid w:val="51E23F34"/>
    <w:rsid w:val="52592F5E"/>
    <w:rsid w:val="526B24C4"/>
    <w:rsid w:val="52793AB2"/>
    <w:rsid w:val="52F47013"/>
    <w:rsid w:val="54104D89"/>
    <w:rsid w:val="55A90FF1"/>
    <w:rsid w:val="56784F80"/>
    <w:rsid w:val="5715355D"/>
    <w:rsid w:val="57992C5B"/>
    <w:rsid w:val="57EA1107"/>
    <w:rsid w:val="585D5C20"/>
    <w:rsid w:val="58FC6D00"/>
    <w:rsid w:val="5A3E3D5A"/>
    <w:rsid w:val="5A46672F"/>
    <w:rsid w:val="5C272C70"/>
    <w:rsid w:val="5C390BF5"/>
    <w:rsid w:val="5CB9385F"/>
    <w:rsid w:val="5D1C662F"/>
    <w:rsid w:val="5D575C30"/>
    <w:rsid w:val="5DAE5F4E"/>
    <w:rsid w:val="5EE409E6"/>
    <w:rsid w:val="5FEB1323"/>
    <w:rsid w:val="5FF56021"/>
    <w:rsid w:val="61811B80"/>
    <w:rsid w:val="6383477F"/>
    <w:rsid w:val="63D40E75"/>
    <w:rsid w:val="63E90243"/>
    <w:rsid w:val="63FD1BDF"/>
    <w:rsid w:val="64B81251"/>
    <w:rsid w:val="652A37D1"/>
    <w:rsid w:val="65E05BAD"/>
    <w:rsid w:val="67446DCC"/>
    <w:rsid w:val="68B50794"/>
    <w:rsid w:val="68F71677"/>
    <w:rsid w:val="694566A7"/>
    <w:rsid w:val="6A66034D"/>
    <w:rsid w:val="6A6A3304"/>
    <w:rsid w:val="6B714C38"/>
    <w:rsid w:val="6BB5538B"/>
    <w:rsid w:val="6BBE2500"/>
    <w:rsid w:val="6BE75F78"/>
    <w:rsid w:val="6D00601D"/>
    <w:rsid w:val="6E8A0EFA"/>
    <w:rsid w:val="6F5202B1"/>
    <w:rsid w:val="6FD34BD9"/>
    <w:rsid w:val="7023296E"/>
    <w:rsid w:val="70541A2E"/>
    <w:rsid w:val="74AF784E"/>
    <w:rsid w:val="74E70CEB"/>
    <w:rsid w:val="765E62C1"/>
    <w:rsid w:val="768E60B5"/>
    <w:rsid w:val="774B68F7"/>
    <w:rsid w:val="789C6803"/>
    <w:rsid w:val="78AE12BE"/>
    <w:rsid w:val="78E12998"/>
    <w:rsid w:val="7925732A"/>
    <w:rsid w:val="7BC2430B"/>
    <w:rsid w:val="7BD53F08"/>
    <w:rsid w:val="7BE748A3"/>
    <w:rsid w:val="7C086FCA"/>
    <w:rsid w:val="7CB24F58"/>
    <w:rsid w:val="7EAE5717"/>
    <w:rsid w:val="7F566A71"/>
    <w:rsid w:val="7FE44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link w:val="2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rPr>
      <w:lang w:val="zh-CN"/>
    </w:rPr>
  </w:style>
  <w:style w:type="paragraph" w:styleId="4">
    <w:name w:val="Normal Indent"/>
    <w:basedOn w:val="1"/>
    <w:qFormat/>
    <w:uiPriority w:val="0"/>
    <w:pPr>
      <w:ind w:firstLine="420"/>
    </w:pPr>
    <w:rPr>
      <w:szCs w:val="20"/>
    </w:rPr>
  </w:style>
  <w:style w:type="paragraph" w:styleId="5">
    <w:name w:val="annotation text"/>
    <w:basedOn w:val="1"/>
    <w:link w:val="30"/>
    <w:semiHidden/>
    <w:unhideWhenUsed/>
    <w:qFormat/>
    <w:uiPriority w:val="99"/>
    <w:pPr>
      <w:jc w:val="left"/>
    </w:pPr>
  </w:style>
  <w:style w:type="paragraph" w:styleId="6">
    <w:name w:val="Body Text Indent"/>
    <w:basedOn w:val="1"/>
    <w:qFormat/>
    <w:uiPriority w:val="0"/>
    <w:pPr>
      <w:ind w:firstLine="627"/>
    </w:pPr>
    <w:rPr>
      <w:sz w:val="28"/>
    </w:rPr>
  </w:style>
  <w:style w:type="paragraph" w:styleId="7">
    <w:name w:val="toc 5"/>
    <w:basedOn w:val="1"/>
    <w:next w:val="1"/>
    <w:qFormat/>
    <w:uiPriority w:val="0"/>
    <w:pPr>
      <w:ind w:left="1680" w:leftChars="800"/>
    </w:pPr>
  </w:style>
  <w:style w:type="paragraph" w:styleId="8">
    <w:name w:val="Plain Text"/>
    <w:basedOn w:val="1"/>
    <w:next w:val="1"/>
    <w:qFormat/>
    <w:uiPriority w:val="99"/>
    <w:rPr>
      <w:rFonts w:ascii="宋体" w:hAnsi="Courier New"/>
    </w:rPr>
  </w:style>
  <w:style w:type="paragraph" w:styleId="9">
    <w:name w:val="Balloon Text"/>
    <w:basedOn w:val="1"/>
    <w:link w:val="32"/>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jc w:val="left"/>
    </w:pPr>
    <w:rPr>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after="120"/>
      <w:ind w:left="420" w:leftChars="200"/>
    </w:pPr>
    <w:rPr>
      <w:rFonts w:ascii="仿宋_GB2312" w:hAnsi="宋体" w:eastAsia="仿宋_GB2312" w:cs="Times New Roman"/>
      <w:snapToGrid w:val="0"/>
      <w:kern w:val="0"/>
      <w:sz w:val="16"/>
      <w:szCs w:val="16"/>
    </w:rPr>
  </w:style>
  <w:style w:type="paragraph" w:styleId="13">
    <w:name w:val="Normal (Web)"/>
    <w:basedOn w:val="1"/>
    <w:next w:val="14"/>
    <w:semiHidden/>
    <w:unhideWhenUsed/>
    <w:qFormat/>
    <w:uiPriority w:val="99"/>
    <w:rPr>
      <w:rFonts w:ascii="Times New Roman" w:hAnsi="Times New Roman" w:cs="Times New Roman"/>
      <w:sz w:val="24"/>
      <w:szCs w:val="24"/>
    </w:rPr>
  </w:style>
  <w:style w:type="paragraph" w:customStyle="1" w:styleId="14">
    <w:name w:val="正文1"/>
    <w:next w:val="15"/>
    <w:qFormat/>
    <w:uiPriority w:val="99"/>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15">
    <w:name w:val="Fließtext"/>
    <w:basedOn w:val="1"/>
    <w:qFormat/>
    <w:uiPriority w:val="0"/>
    <w:pPr>
      <w:overflowPunct w:val="0"/>
      <w:autoSpaceDE w:val="0"/>
      <w:autoSpaceDN w:val="0"/>
      <w:adjustRightInd w:val="0"/>
      <w:textAlignment w:val="baseline"/>
    </w:pPr>
    <w:rPr>
      <w:kern w:val="28"/>
      <w:szCs w:val="20"/>
    </w:rPr>
  </w:style>
  <w:style w:type="paragraph" w:styleId="16">
    <w:name w:val="Title"/>
    <w:basedOn w:val="1"/>
    <w:next w:val="1"/>
    <w:qFormat/>
    <w:uiPriority w:val="99"/>
    <w:pPr>
      <w:jc w:val="center"/>
      <w:outlineLvl w:val="0"/>
    </w:pPr>
    <w:rPr>
      <w:rFonts w:ascii="Arial" w:hAnsi="Arial" w:cs="Arial"/>
      <w:b/>
      <w:bCs/>
      <w:sz w:val="32"/>
      <w:szCs w:val="32"/>
    </w:rPr>
  </w:style>
  <w:style w:type="paragraph" w:styleId="17">
    <w:name w:val="annotation subject"/>
    <w:basedOn w:val="5"/>
    <w:next w:val="5"/>
    <w:link w:val="31"/>
    <w:semiHidden/>
    <w:unhideWhenUsed/>
    <w:qFormat/>
    <w:uiPriority w:val="99"/>
    <w:rPr>
      <w:b/>
      <w:bCs/>
    </w:rPr>
  </w:style>
  <w:style w:type="paragraph" w:styleId="18">
    <w:name w:val="Body Text First Indent"/>
    <w:basedOn w:val="2"/>
    <w:qFormat/>
    <w:uiPriority w:val="0"/>
    <w:pPr>
      <w:ind w:firstLine="420" w:firstLineChars="100"/>
    </w:pPr>
  </w:style>
  <w:style w:type="paragraph" w:styleId="19">
    <w:name w:val="Body Text First Indent 2"/>
    <w:basedOn w:val="6"/>
    <w:qFormat/>
    <w:uiPriority w:val="0"/>
    <w:pPr>
      <w:spacing w:after="120" w:line="360" w:lineRule="auto"/>
      <w:ind w:firstLine="480" w:firstLineChars="200"/>
    </w:pPr>
    <w:rPr>
      <w:sz w:val="24"/>
      <w:szCs w:val="24"/>
    </w:rPr>
  </w:style>
  <w:style w:type="table" w:styleId="21">
    <w:name w:val="Table Grid"/>
    <w:basedOn w:val="20"/>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3">
    <w:name w:val="Strong"/>
    <w:basedOn w:val="22"/>
    <w:qFormat/>
    <w:uiPriority w:val="99"/>
    <w:rPr>
      <w:rFonts w:cs="Times New Roman"/>
      <w:b/>
    </w:rPr>
  </w:style>
  <w:style w:type="character" w:styleId="24">
    <w:name w:val="Hyperlink"/>
    <w:basedOn w:val="22"/>
    <w:qFormat/>
    <w:uiPriority w:val="0"/>
    <w:rPr>
      <w:color w:val="0000FF"/>
      <w:u w:val="none"/>
    </w:rPr>
  </w:style>
  <w:style w:type="character" w:styleId="25">
    <w:name w:val="annotation reference"/>
    <w:basedOn w:val="22"/>
    <w:semiHidden/>
    <w:unhideWhenUsed/>
    <w:qFormat/>
    <w:uiPriority w:val="99"/>
    <w:rPr>
      <w:sz w:val="21"/>
      <w:szCs w:val="21"/>
    </w:rPr>
  </w:style>
  <w:style w:type="paragraph" w:customStyle="1" w:styleId="26">
    <w:name w:val="_Style 3"/>
    <w:basedOn w:val="1"/>
    <w:qFormat/>
    <w:uiPriority w:val="0"/>
    <w:pPr>
      <w:spacing w:line="240" w:lineRule="atLeast"/>
      <w:ind w:left="420" w:firstLine="420"/>
    </w:pPr>
    <w:rPr>
      <w:rFonts w:ascii="Calibri" w:hAnsi="Calibri"/>
    </w:rPr>
  </w:style>
  <w:style w:type="character" w:customStyle="1" w:styleId="27">
    <w:name w:val="标题 3 Char"/>
    <w:basedOn w:val="22"/>
    <w:link w:val="3"/>
    <w:qFormat/>
    <w:uiPriority w:val="9"/>
    <w:rPr>
      <w:rFonts w:ascii="宋体" w:hAnsi="宋体" w:eastAsia="宋体" w:cs="宋体"/>
      <w:b/>
      <w:bCs/>
      <w:kern w:val="0"/>
      <w:sz w:val="27"/>
      <w:szCs w:val="27"/>
    </w:rPr>
  </w:style>
  <w:style w:type="character" w:customStyle="1" w:styleId="28">
    <w:name w:val="页眉 Char"/>
    <w:basedOn w:val="22"/>
    <w:link w:val="11"/>
    <w:qFormat/>
    <w:uiPriority w:val="99"/>
    <w:rPr>
      <w:sz w:val="18"/>
      <w:szCs w:val="18"/>
    </w:rPr>
  </w:style>
  <w:style w:type="character" w:customStyle="1" w:styleId="29">
    <w:name w:val="页脚 Char"/>
    <w:basedOn w:val="22"/>
    <w:link w:val="10"/>
    <w:qFormat/>
    <w:uiPriority w:val="99"/>
    <w:rPr>
      <w:sz w:val="18"/>
      <w:szCs w:val="18"/>
    </w:rPr>
  </w:style>
  <w:style w:type="character" w:customStyle="1" w:styleId="30">
    <w:name w:val="批注文字 Char"/>
    <w:basedOn w:val="22"/>
    <w:link w:val="5"/>
    <w:semiHidden/>
    <w:qFormat/>
    <w:uiPriority w:val="99"/>
  </w:style>
  <w:style w:type="character" w:customStyle="1" w:styleId="31">
    <w:name w:val="批注主题 Char"/>
    <w:basedOn w:val="30"/>
    <w:link w:val="17"/>
    <w:semiHidden/>
    <w:qFormat/>
    <w:uiPriority w:val="99"/>
    <w:rPr>
      <w:b/>
      <w:bCs/>
    </w:rPr>
  </w:style>
  <w:style w:type="character" w:customStyle="1" w:styleId="32">
    <w:name w:val="批注框文本 Char"/>
    <w:basedOn w:val="22"/>
    <w:link w:val="9"/>
    <w:semiHidden/>
    <w:qFormat/>
    <w:uiPriority w:val="99"/>
    <w:rPr>
      <w:sz w:val="18"/>
      <w:szCs w:val="18"/>
    </w:rPr>
  </w:style>
  <w:style w:type="paragraph" w:customStyle="1" w:styleId="33">
    <w:name w:val="加点正文缩进"/>
    <w:basedOn w:val="1"/>
    <w:qFormat/>
    <w:uiPriority w:val="0"/>
    <w:pPr>
      <w:numPr>
        <w:ilvl w:val="1"/>
        <w:numId w:val="1"/>
      </w:numPr>
      <w:spacing w:line="300" w:lineRule="auto"/>
      <w:jc w:val="left"/>
    </w:pPr>
    <w:rPr>
      <w:sz w:val="24"/>
    </w:rPr>
  </w:style>
  <w:style w:type="paragraph" w:styleId="34">
    <w:name w:val="List Paragraph"/>
    <w:basedOn w:val="1"/>
    <w:qFormat/>
    <w:uiPriority w:val="34"/>
    <w:pPr>
      <w:ind w:firstLine="420" w:firstLineChars="200"/>
    </w:pPr>
  </w:style>
  <w:style w:type="character" w:customStyle="1" w:styleId="35">
    <w:name w:val="15"/>
    <w:basedOn w:val="22"/>
    <w:qFormat/>
    <w:uiPriority w:val="0"/>
    <w:rPr>
      <w:rFonts w:hint="default" w:ascii="Times New Roman" w:hAnsi="Times New Roman" w:cs="Times New Roman"/>
      <w:b/>
      <w:bCs/>
    </w:rPr>
  </w:style>
  <w:style w:type="character" w:customStyle="1" w:styleId="36">
    <w:name w:val="apple-converted-space"/>
    <w:basedOn w:val="22"/>
    <w:qFormat/>
    <w:uiPriority w:val="0"/>
  </w:style>
  <w:style w:type="character" w:customStyle="1" w:styleId="37">
    <w:name w:val="font101"/>
    <w:basedOn w:val="22"/>
    <w:qFormat/>
    <w:uiPriority w:val="0"/>
    <w:rPr>
      <w:rFonts w:hint="eastAsia" w:ascii="微软雅黑" w:hAnsi="微软雅黑" w:eastAsia="微软雅黑" w:cs="微软雅黑"/>
      <w:b/>
      <w:bCs/>
      <w:color w:val="000000"/>
      <w:sz w:val="24"/>
      <w:szCs w:val="24"/>
      <w:u w:val="none"/>
    </w:rPr>
  </w:style>
  <w:style w:type="character" w:customStyle="1" w:styleId="38">
    <w:name w:val="font112"/>
    <w:basedOn w:val="22"/>
    <w:qFormat/>
    <w:uiPriority w:val="0"/>
    <w:rPr>
      <w:rFonts w:hint="eastAsia" w:ascii="微软雅黑" w:hAnsi="微软雅黑" w:eastAsia="微软雅黑" w:cs="微软雅黑"/>
      <w:color w:val="000000"/>
      <w:sz w:val="24"/>
      <w:szCs w:val="24"/>
      <w:u w:val="none"/>
    </w:rPr>
  </w:style>
  <w:style w:type="paragraph" w:customStyle="1" w:styleId="39">
    <w:name w:val="null3"/>
    <w:hidden/>
    <w:qFormat/>
    <w:uiPriority w:val="0"/>
    <w:rPr>
      <w:rFonts w:hint="eastAsia" w:asciiTheme="minorHAnsi" w:hAnsiTheme="minorHAnsi" w:eastAsiaTheme="minorEastAsia" w:cstheme="minorBidi"/>
      <w:lang w:val="en-US" w:eastAsia="zh-Hans" w:bidi="ar-SA"/>
    </w:rPr>
  </w:style>
  <w:style w:type="character" w:customStyle="1" w:styleId="40">
    <w:name w:val="NormalCharacter"/>
    <w:semiHidden/>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77</Pages>
  <Words>50084</Words>
  <Characters>51546</Characters>
  <Lines>386</Lines>
  <Paragraphs>108</Paragraphs>
  <TotalTime>0</TotalTime>
  <ScaleCrop>false</ScaleCrop>
  <LinksUpToDate>false</LinksUpToDate>
  <CharactersWithSpaces>52870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2021-05-11T04:44:00Z</dcterms:created>
  <dc:creator>NTKO</dc:creator>
  <cp:lastModifiedBy>Administrator</cp:lastModifiedBy>
  <cp:lastPrinted>2023-07-24T05:04:00Z</cp:lastPrinted>
  <dcterms:modified xsi:type="dcterms:W3CDTF">2023-08-14T02:19:21Z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3B71C37EB20F4C36BDED00ACF6ED9774_13</vt:lpwstr>
  </property>
</Properties>
</file>