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附件2</w:t>
      </w:r>
    </w:p>
    <w:p>
      <w:pPr>
        <w:spacing w:after="78"/>
        <w:ind w:firstLine="0" w:firstLineChars="0"/>
        <w:jc w:val="center"/>
        <w:rPr>
          <w:rFonts w:hint="eastAsia" w:ascii="宋体" w:hAnsi="宋体" w:eastAsia="宋体"/>
          <w:b/>
          <w:color w:val="auto"/>
          <w:sz w:val="44"/>
          <w:szCs w:val="44"/>
        </w:rPr>
      </w:pPr>
      <w:r>
        <w:rPr>
          <w:rFonts w:hint="eastAsia" w:ascii="宋体" w:hAnsi="宋体" w:eastAsia="宋体"/>
          <w:b/>
          <w:color w:val="auto"/>
          <w:sz w:val="44"/>
          <w:szCs w:val="44"/>
        </w:rPr>
        <w:t>湄洲湾职业技术学院教学实训设备采购</w:t>
      </w:r>
    </w:p>
    <w:p>
      <w:pPr>
        <w:spacing w:after="78"/>
        <w:ind w:firstLine="0" w:firstLineChars="0"/>
        <w:jc w:val="center"/>
        <w:rPr>
          <w:rFonts w:hint="eastAsia" w:ascii="宋体" w:hAnsi="宋体" w:eastAsia="宋体"/>
          <w:b/>
          <w:color w:val="auto"/>
          <w:sz w:val="44"/>
          <w:szCs w:val="44"/>
        </w:rPr>
      </w:pPr>
      <w:r>
        <w:rPr>
          <w:rFonts w:hint="eastAsia" w:ascii="宋体" w:hAnsi="宋体" w:eastAsia="宋体"/>
          <w:b/>
          <w:color w:val="auto"/>
          <w:sz w:val="44"/>
          <w:szCs w:val="44"/>
        </w:rPr>
        <w:t>技术参数论证报告</w:t>
      </w:r>
    </w:p>
    <w:p>
      <w:pPr>
        <w:keepNext w:val="0"/>
        <w:keepLines w:val="0"/>
        <w:pageBreakBefore w:val="0"/>
        <w:widowControl w:val="0"/>
        <w:kinsoku/>
        <w:wordWrap/>
        <w:overflowPunct/>
        <w:topLinePunct w:val="0"/>
        <w:autoSpaceDE w:val="0"/>
        <w:autoSpaceDN w:val="0"/>
        <w:bidi w:val="0"/>
        <w:adjustRightInd w:val="0"/>
        <w:snapToGrid w:val="0"/>
        <w:spacing w:after="0" w:afterLines="0" w:line="360" w:lineRule="auto"/>
        <w:ind w:firstLine="482"/>
        <w:textAlignment w:val="center"/>
        <w:rPr>
          <w:rFonts w:hint="eastAsia"/>
          <w:b/>
          <w:color w:val="auto"/>
          <w:sz w:val="32"/>
          <w:szCs w:val="32"/>
          <w:u w:val="single"/>
        </w:rPr>
      </w:pPr>
      <w:r>
        <w:rPr>
          <w:rFonts w:hint="eastAsia"/>
          <w:b/>
          <w:color w:val="auto"/>
          <w:sz w:val="32"/>
          <w:szCs w:val="32"/>
        </w:rPr>
        <w:t>项目名称：</w:t>
      </w:r>
      <w:r>
        <w:rPr>
          <w:rFonts w:hint="eastAsia"/>
          <w:b/>
          <w:color w:val="auto"/>
          <w:sz w:val="32"/>
          <w:szCs w:val="32"/>
          <w:u w:val="single"/>
        </w:rPr>
        <w:t xml:space="preserve"> 机电一体化智能实训平台</w:t>
      </w:r>
      <w:r>
        <w:rPr>
          <w:rFonts w:hint="eastAsia"/>
          <w:b w:val="0"/>
          <w:bCs/>
          <w:color w:val="auto"/>
          <w:sz w:val="24"/>
          <w:szCs w:val="24"/>
          <w:u w:val="single"/>
        </w:rPr>
        <w:t xml:space="preserve"> </w:t>
      </w:r>
      <w:r>
        <w:rPr>
          <w:rFonts w:hint="eastAsia"/>
          <w:b w:val="0"/>
          <w:bCs/>
          <w:color w:val="auto"/>
          <w:sz w:val="32"/>
          <w:szCs w:val="32"/>
          <w:u w:val="single"/>
        </w:rPr>
        <w:t xml:space="preserve"> </w:t>
      </w:r>
    </w:p>
    <w:p>
      <w:pPr>
        <w:keepNext w:val="0"/>
        <w:keepLines w:val="0"/>
        <w:pageBreakBefore w:val="0"/>
        <w:widowControl w:val="0"/>
        <w:kinsoku/>
        <w:wordWrap/>
        <w:overflowPunct/>
        <w:topLinePunct w:val="0"/>
        <w:autoSpaceDE w:val="0"/>
        <w:autoSpaceDN w:val="0"/>
        <w:bidi w:val="0"/>
        <w:adjustRightInd w:val="0"/>
        <w:snapToGrid w:val="0"/>
        <w:spacing w:after="0" w:afterLines="0" w:line="360" w:lineRule="auto"/>
        <w:ind w:firstLine="482"/>
        <w:textAlignment w:val="center"/>
        <w:rPr>
          <w:rFonts w:hint="eastAsia"/>
          <w:b/>
          <w:color w:val="auto"/>
          <w:sz w:val="32"/>
          <w:szCs w:val="32"/>
          <w:u w:val="single"/>
        </w:rPr>
      </w:pPr>
      <w:r>
        <w:rPr>
          <w:rFonts w:hint="eastAsia"/>
          <w:b/>
          <w:color w:val="auto"/>
          <w:sz w:val="32"/>
          <w:szCs w:val="32"/>
          <w:lang w:val="en-US" w:eastAsia="zh-CN"/>
        </w:rPr>
        <w:t>采购</w:t>
      </w:r>
      <w:r>
        <w:rPr>
          <w:rFonts w:hint="eastAsia"/>
          <w:b/>
          <w:color w:val="auto"/>
          <w:sz w:val="32"/>
          <w:szCs w:val="32"/>
        </w:rPr>
        <w:t>单位：</w:t>
      </w:r>
      <w:r>
        <w:rPr>
          <w:rFonts w:hint="eastAsia"/>
          <w:b/>
          <w:color w:val="auto"/>
          <w:sz w:val="32"/>
          <w:szCs w:val="32"/>
          <w:u w:val="single"/>
        </w:rPr>
        <w:t xml:space="preserve"> </w:t>
      </w:r>
      <w:r>
        <w:rPr>
          <w:rFonts w:hint="eastAsia"/>
          <w:b/>
          <w:color w:val="auto"/>
          <w:sz w:val="32"/>
          <w:szCs w:val="32"/>
          <w:u w:val="single"/>
          <w:lang w:val="en-US" w:eastAsia="zh-CN"/>
        </w:rPr>
        <w:t>智能制造工程系</w:t>
      </w:r>
      <w:r>
        <w:rPr>
          <w:rFonts w:hint="eastAsia"/>
          <w:b/>
          <w:color w:val="auto"/>
          <w:sz w:val="32"/>
          <w:szCs w:val="32"/>
          <w:u w:val="single"/>
        </w:rPr>
        <w:t xml:space="preserve">                              </w:t>
      </w:r>
    </w:p>
    <w:p>
      <w:pPr>
        <w:keepNext w:val="0"/>
        <w:keepLines w:val="0"/>
        <w:pageBreakBefore w:val="0"/>
        <w:widowControl w:val="0"/>
        <w:kinsoku/>
        <w:wordWrap/>
        <w:overflowPunct/>
        <w:topLinePunct w:val="0"/>
        <w:autoSpaceDE w:val="0"/>
        <w:autoSpaceDN w:val="0"/>
        <w:bidi w:val="0"/>
        <w:adjustRightInd w:val="0"/>
        <w:snapToGrid w:val="0"/>
        <w:spacing w:after="0" w:afterLines="0" w:line="360" w:lineRule="auto"/>
        <w:ind w:firstLine="482"/>
        <w:textAlignment w:val="center"/>
        <w:rPr>
          <w:rFonts w:hint="eastAsia"/>
          <w:b/>
          <w:color w:val="auto"/>
          <w:sz w:val="32"/>
          <w:szCs w:val="32"/>
          <w:u w:val="single"/>
        </w:rPr>
      </w:pPr>
      <w:r>
        <w:rPr>
          <w:rFonts w:hint="eastAsia"/>
          <w:b/>
          <w:color w:val="auto"/>
          <w:sz w:val="32"/>
          <w:szCs w:val="32"/>
        </w:rPr>
        <w:t>职能主管部门：</w:t>
      </w:r>
      <w:r>
        <w:rPr>
          <w:rFonts w:hint="eastAsia"/>
          <w:b/>
          <w:color w:val="auto"/>
          <w:sz w:val="32"/>
          <w:szCs w:val="32"/>
          <w:u w:val="single"/>
        </w:rPr>
        <w:t xml:space="preserve">                                  </w:t>
      </w:r>
    </w:p>
    <w:tbl>
      <w:tblPr>
        <w:tblStyle w:val="14"/>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6" w:hRule="atLeast"/>
        </w:trPr>
        <w:tc>
          <w:tcPr>
            <w:tcW w:w="8568" w:type="dxa"/>
            <w:noWrap w:val="0"/>
            <w:vAlign w:val="top"/>
          </w:tcPr>
          <w:p>
            <w:pPr>
              <w:spacing w:after="78"/>
              <w:ind w:firstLine="0" w:firstLineChars="0"/>
              <w:rPr>
                <w:rFonts w:hint="eastAsia"/>
                <w:color w:val="auto"/>
              </w:rPr>
            </w:pPr>
            <w:r>
              <w:rPr>
                <w:rFonts w:hint="eastAsia"/>
                <w:b/>
                <w:color w:val="auto"/>
                <w:lang w:val="en-US" w:eastAsia="zh-CN"/>
              </w:rPr>
              <w:t>采购单位</w:t>
            </w:r>
            <w:r>
              <w:rPr>
                <w:rFonts w:hint="eastAsia"/>
                <w:b/>
                <w:color w:val="auto"/>
              </w:rPr>
              <w:t>论证意见：</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color w:val="auto"/>
              </w:rPr>
            </w:pPr>
          </w:p>
          <w:p>
            <w:pPr>
              <w:spacing w:after="78"/>
              <w:ind w:firstLine="420" w:firstLineChars="200"/>
              <w:rPr>
                <w:rFonts w:hint="eastAsia" w:eastAsia="宋体"/>
                <w:color w:val="auto"/>
                <w:lang w:eastAsia="zh-CN"/>
              </w:rPr>
            </w:pPr>
            <w:r>
              <w:rPr>
                <w:rFonts w:hint="eastAsia"/>
              </w:rPr>
              <w:t>会议议定：根据代理商、兄弟院校与网络询价的结果，</w:t>
            </w:r>
            <w:r>
              <w:rPr>
                <w:rFonts w:hint="eastAsia" w:ascii="宋体" w:hAnsi="宋体"/>
              </w:rPr>
              <w:t>确定了最终实施条件下</w:t>
            </w:r>
            <w:r>
              <w:rPr>
                <w:rFonts w:hint="eastAsia" w:ascii="宋体" w:hAnsi="宋体"/>
                <w:b/>
                <w:bCs/>
              </w:rPr>
              <w:t>“机电一体化智能实训平台”</w:t>
            </w:r>
            <w:r>
              <w:rPr>
                <w:rFonts w:hint="eastAsia" w:ascii="宋体" w:hAnsi="宋体"/>
                <w:b/>
                <w:bCs/>
                <w:lang w:val="en-US" w:eastAsia="zh-CN"/>
              </w:rPr>
              <w:t>采购项目</w:t>
            </w:r>
            <w:r>
              <w:rPr>
                <w:rFonts w:hint="eastAsia" w:ascii="宋体" w:hAnsi="宋体"/>
              </w:rPr>
              <w:t>的技术参数、参考品牌、数量和预算金额；确定了售后及培训等其他要求；还有评标方法采用</w:t>
            </w:r>
            <w:r>
              <w:rPr>
                <w:rFonts w:hint="eastAsia" w:ascii="宋体" w:hAnsi="宋体"/>
                <w:lang w:val="en-US" w:eastAsia="zh-CN"/>
              </w:rPr>
              <w:t>最低价评标</w:t>
            </w:r>
            <w:r>
              <w:rPr>
                <w:rFonts w:hint="eastAsia" w:ascii="宋体" w:hAnsi="宋体"/>
              </w:rPr>
              <w:t>。</w:t>
            </w:r>
            <w:r>
              <w:rPr>
                <w:rFonts w:hint="eastAsia"/>
              </w:rPr>
              <w:t>技术参数科学、合理；详细技术参数资料共</w:t>
            </w:r>
            <w:r>
              <w:rPr>
                <w:rFonts w:hint="eastAsia"/>
                <w:u w:val="single"/>
              </w:rPr>
              <w:t xml:space="preserve"> </w:t>
            </w:r>
            <w:r>
              <w:rPr>
                <w:rFonts w:hint="eastAsia"/>
                <w:u w:val="single"/>
                <w:lang w:val="en-US" w:eastAsia="zh-CN"/>
              </w:rPr>
              <w:t>18</w:t>
            </w:r>
            <w:r>
              <w:rPr>
                <w:rFonts w:hint="eastAsia"/>
                <w:u w:val="single"/>
              </w:rPr>
              <w:t xml:space="preserve"> </w:t>
            </w:r>
            <w:r>
              <w:rPr>
                <w:rFonts w:hint="eastAsia"/>
              </w:rPr>
              <w:t>页</w:t>
            </w:r>
            <w:r>
              <w:rPr>
                <w:rFonts w:hint="eastAsia"/>
                <w:lang w:eastAsia="zh-CN"/>
              </w:rPr>
              <w:t>。</w:t>
            </w:r>
          </w:p>
          <w:p>
            <w:pPr>
              <w:pStyle w:val="13"/>
              <w:rPr>
                <w:rFonts w:hint="eastAsia"/>
                <w:color w:val="auto"/>
              </w:rPr>
            </w:pPr>
          </w:p>
          <w:p>
            <w:pPr>
              <w:pStyle w:val="13"/>
              <w:ind w:left="0" w:leftChars="0" w:firstLine="0" w:firstLineChars="0"/>
              <w:rPr>
                <w:rFonts w:hint="eastAsia"/>
                <w:color w:val="auto"/>
              </w:rPr>
            </w:pPr>
          </w:p>
          <w:p>
            <w:pPr>
              <w:widowControl/>
              <w:spacing w:after="78"/>
              <w:ind w:firstLine="0" w:firstLineChars="0"/>
              <w:rPr>
                <w:rFonts w:hint="eastAsia" w:ascii="宋体" w:hAnsi="宋体"/>
                <w:b/>
                <w:color w:val="auto"/>
                <w:szCs w:val="30"/>
              </w:rPr>
            </w:pPr>
            <w:r>
              <w:rPr>
                <w:rFonts w:hint="eastAsia" w:ascii="宋体" w:hAnsi="宋体"/>
                <w:b/>
                <w:color w:val="auto"/>
                <w:szCs w:val="30"/>
              </w:rPr>
              <w:t xml:space="preserve">项目负责人：            </w:t>
            </w:r>
            <w:r>
              <w:rPr>
                <w:rFonts w:hint="eastAsia" w:ascii="宋体" w:hAnsi="宋体"/>
                <w:b/>
                <w:color w:val="auto"/>
                <w:szCs w:val="30"/>
                <w:lang w:val="en-US" w:eastAsia="zh-CN"/>
              </w:rPr>
              <w:t>单位负责人</w:t>
            </w:r>
            <w:r>
              <w:rPr>
                <w:rFonts w:hint="eastAsia" w:ascii="宋体" w:hAnsi="宋体"/>
                <w:b/>
                <w:color w:val="auto"/>
                <w:szCs w:val="30"/>
              </w:rPr>
              <w:t>:</w:t>
            </w:r>
          </w:p>
          <w:p>
            <w:pPr>
              <w:widowControl/>
              <w:spacing w:after="78"/>
              <w:ind w:firstLine="0" w:firstLineChars="0"/>
              <w:rPr>
                <w:rFonts w:hint="eastAsia" w:ascii="宋体" w:hAnsi="宋体"/>
                <w:b/>
                <w:color w:val="auto"/>
                <w:szCs w:val="30"/>
              </w:rPr>
            </w:pPr>
          </w:p>
          <w:p>
            <w:pPr>
              <w:widowControl/>
              <w:spacing w:after="78"/>
              <w:ind w:firstLine="0" w:firstLineChars="0"/>
              <w:rPr>
                <w:rFonts w:hint="eastAsia" w:ascii="宋体" w:hAnsi="宋体" w:eastAsia="仿宋_GB2312"/>
                <w:b/>
                <w:color w:val="auto"/>
                <w:szCs w:val="30"/>
                <w:lang w:val="en-US" w:eastAsia="zh-CN"/>
              </w:rPr>
            </w:pPr>
            <w:r>
              <w:rPr>
                <w:rFonts w:hint="eastAsia" w:ascii="宋体" w:hAnsi="宋体"/>
                <w:b/>
                <w:color w:val="auto"/>
                <w:szCs w:val="30"/>
                <w:lang w:val="en-US" w:eastAsia="zh-CN"/>
              </w:rPr>
              <w:t>参会人员：</w:t>
            </w:r>
          </w:p>
          <w:p>
            <w:pPr>
              <w:widowControl/>
              <w:spacing w:after="78"/>
              <w:ind w:firstLine="0" w:firstLineChars="0"/>
              <w:rPr>
                <w:rFonts w:hint="eastAsia" w:ascii="宋体" w:hAnsi="宋体"/>
                <w:b/>
                <w:color w:val="auto"/>
                <w:szCs w:val="30"/>
              </w:rPr>
            </w:pPr>
          </w:p>
          <w:p>
            <w:pPr>
              <w:pStyle w:val="13"/>
              <w:rPr>
                <w:rFonts w:hint="eastAsia"/>
              </w:rPr>
            </w:pPr>
          </w:p>
          <w:p>
            <w:pPr>
              <w:spacing w:after="78"/>
              <w:ind w:firstLine="697" w:firstLineChars="332"/>
              <w:rPr>
                <w:rFonts w:hint="eastAsia"/>
                <w:color w:val="auto"/>
                <w:u w:val="single"/>
              </w:rPr>
            </w:pPr>
            <w:r>
              <w:rPr>
                <w:rFonts w:ascii="宋体" w:hAnsi="宋体"/>
                <w:szCs w:val="30"/>
              </w:rPr>
              <w:t>2023</w:t>
            </w:r>
            <w:r>
              <w:rPr>
                <w:rFonts w:hint="eastAsia" w:ascii="宋体" w:hAnsi="宋体"/>
                <w:szCs w:val="30"/>
              </w:rPr>
              <w:t>年</w:t>
            </w:r>
            <w:r>
              <w:rPr>
                <w:rFonts w:ascii="宋体" w:hAnsi="宋体"/>
                <w:szCs w:val="30"/>
              </w:rPr>
              <w:t>2</w:t>
            </w:r>
            <w:r>
              <w:rPr>
                <w:rFonts w:hint="eastAsia" w:ascii="宋体" w:hAnsi="宋体"/>
                <w:szCs w:val="30"/>
              </w:rPr>
              <w:t>月</w:t>
            </w:r>
            <w:r>
              <w:rPr>
                <w:rFonts w:hint="eastAsia" w:ascii="宋体" w:hAnsi="宋体"/>
                <w:szCs w:val="30"/>
                <w:lang w:val="en-US" w:eastAsia="zh-CN"/>
              </w:rPr>
              <w:t>24</w:t>
            </w:r>
            <w:r>
              <w:rPr>
                <w:rFonts w:hint="eastAsia" w:ascii="宋体" w:hAnsi="宋体"/>
                <w:szCs w:val="30"/>
              </w:rPr>
              <w:t>日</w:t>
            </w:r>
            <w:r>
              <w:rPr>
                <w:rFonts w:hint="eastAsia" w:ascii="宋体" w:hAnsi="宋体"/>
                <w:color w:val="auto"/>
                <w:szCs w:val="30"/>
              </w:rPr>
              <w:t xml:space="preserve">           </w:t>
            </w:r>
            <w:r>
              <w:rPr>
                <w:rFonts w:ascii="宋体" w:hAnsi="宋体"/>
                <w:szCs w:val="30"/>
              </w:rPr>
              <w:t>2023</w:t>
            </w:r>
            <w:r>
              <w:rPr>
                <w:rFonts w:hint="eastAsia" w:ascii="宋体" w:hAnsi="宋体"/>
                <w:szCs w:val="30"/>
              </w:rPr>
              <w:t>年</w:t>
            </w:r>
            <w:r>
              <w:rPr>
                <w:rFonts w:ascii="宋体" w:hAnsi="宋体"/>
                <w:szCs w:val="30"/>
              </w:rPr>
              <w:t>2</w:t>
            </w:r>
            <w:r>
              <w:rPr>
                <w:rFonts w:hint="eastAsia" w:ascii="宋体" w:hAnsi="宋体"/>
                <w:szCs w:val="30"/>
              </w:rPr>
              <w:t>月</w:t>
            </w:r>
            <w:r>
              <w:rPr>
                <w:rFonts w:hint="eastAsia" w:ascii="宋体" w:hAnsi="宋体"/>
                <w:szCs w:val="30"/>
                <w:lang w:val="en-US" w:eastAsia="zh-CN"/>
              </w:rPr>
              <w:t>24</w:t>
            </w:r>
            <w:r>
              <w:rPr>
                <w:rFonts w:hint="eastAsia" w:ascii="宋体" w:hAnsi="宋体"/>
                <w:szCs w:val="30"/>
              </w:rPr>
              <w:t>日</w:t>
            </w:r>
            <w:r>
              <w:rPr>
                <w:rFonts w:hint="eastAsia" w:ascii="宋体" w:hAnsi="宋体"/>
                <w:color w:val="auto"/>
                <w:szCs w:val="30"/>
              </w:rPr>
              <w:t xml:space="preserve">            </w:t>
            </w:r>
            <w:r>
              <w:rPr>
                <w:rFonts w:ascii="宋体" w:hAnsi="宋体"/>
                <w:szCs w:val="30"/>
              </w:rPr>
              <w:t>2023</w:t>
            </w:r>
            <w:r>
              <w:rPr>
                <w:rFonts w:hint="eastAsia" w:ascii="宋体" w:hAnsi="宋体"/>
                <w:szCs w:val="30"/>
              </w:rPr>
              <w:t>年</w:t>
            </w:r>
            <w:r>
              <w:rPr>
                <w:rFonts w:ascii="宋体" w:hAnsi="宋体"/>
                <w:szCs w:val="30"/>
              </w:rPr>
              <w:t>2</w:t>
            </w:r>
            <w:r>
              <w:rPr>
                <w:rFonts w:hint="eastAsia" w:ascii="宋体" w:hAnsi="宋体"/>
                <w:szCs w:val="30"/>
              </w:rPr>
              <w:t>月</w:t>
            </w:r>
            <w:r>
              <w:rPr>
                <w:rFonts w:hint="eastAsia" w:ascii="宋体" w:hAnsi="宋体"/>
                <w:szCs w:val="30"/>
                <w:lang w:val="en-US" w:eastAsia="zh-CN"/>
              </w:rPr>
              <w:t>24</w:t>
            </w:r>
            <w:r>
              <w:rPr>
                <w:rFonts w:hint="eastAsia" w:ascii="宋体" w:hAnsi="宋体"/>
                <w:szCs w:val="30"/>
              </w:rPr>
              <w:t>日</w:t>
            </w:r>
          </w:p>
        </w:tc>
      </w:tr>
    </w:tbl>
    <w:p>
      <w:pPr>
        <w:spacing w:after="78"/>
        <w:ind w:firstLine="480"/>
        <w:rPr>
          <w:rFonts w:hint="eastAsia"/>
          <w:color w:val="auto"/>
        </w:rPr>
      </w:pPr>
    </w:p>
    <w:p>
      <w:pPr>
        <w:pStyle w:val="13"/>
        <w:rPr>
          <w:rFonts w:hint="eastAsia"/>
        </w:rPr>
      </w:pPr>
    </w:p>
    <w:p>
      <w:pPr>
        <w:spacing w:after="78"/>
        <w:ind w:firstLine="562"/>
        <w:rPr>
          <w:rFonts w:hint="eastAsia"/>
          <w:color w:val="auto"/>
        </w:rPr>
      </w:pPr>
      <w:r>
        <w:rPr>
          <w:rFonts w:hint="eastAsia"/>
          <w:b/>
          <w:color w:val="auto"/>
          <w:sz w:val="28"/>
          <w:szCs w:val="28"/>
        </w:rPr>
        <w:t>填报单位（签章）：</w:t>
      </w:r>
      <w:r>
        <w:rPr>
          <w:rFonts w:hint="eastAsia"/>
          <w:b/>
          <w:color w:val="auto"/>
          <w:sz w:val="28"/>
          <w:szCs w:val="28"/>
          <w:u w:val="single"/>
        </w:rPr>
        <w:t xml:space="preserve">  </w:t>
      </w:r>
      <w:r>
        <w:rPr>
          <w:rFonts w:hint="eastAsia"/>
          <w:b/>
          <w:color w:val="auto"/>
          <w:sz w:val="28"/>
          <w:szCs w:val="28"/>
          <w:u w:val="single"/>
          <w:lang w:val="en-US" w:eastAsia="zh-CN"/>
        </w:rPr>
        <w:t>智能制造工程系</w:t>
      </w:r>
      <w:r>
        <w:rPr>
          <w:rFonts w:hint="eastAsia"/>
          <w:b/>
          <w:color w:val="auto"/>
          <w:sz w:val="28"/>
          <w:szCs w:val="28"/>
          <w:u w:val="single"/>
        </w:rPr>
        <w:t xml:space="preserve">      </w:t>
      </w:r>
    </w:p>
    <w:p>
      <w:pPr>
        <w:keepNext w:val="0"/>
        <w:keepLines w:val="0"/>
        <w:pageBreakBefore w:val="0"/>
        <w:widowControl w:val="0"/>
        <w:kinsoku/>
        <w:wordWrap/>
        <w:overflowPunct/>
        <w:topLinePunct w:val="0"/>
        <w:autoSpaceDE w:val="0"/>
        <w:autoSpaceDN w:val="0"/>
        <w:bidi w:val="0"/>
        <w:adjustRightInd/>
        <w:snapToGrid w:val="0"/>
        <w:spacing w:after="0" w:afterLines="0"/>
        <w:ind w:firstLine="0" w:firstLineChars="0"/>
        <w:jc w:val="center"/>
        <w:textAlignment w:val="center"/>
        <w:outlineLvl w:val="0"/>
        <w:rPr>
          <w:rFonts w:hint="default" w:ascii="方正小标宋简体" w:eastAsia="方正小标宋简体"/>
          <w:color w:val="auto"/>
          <w:sz w:val="36"/>
          <w:szCs w:val="36"/>
          <w:lang w:val="en-US" w:eastAsia="zh-CN"/>
        </w:rPr>
      </w:pPr>
      <w:r>
        <w:rPr>
          <w:rFonts w:ascii="宋体" w:hAnsi="宋体" w:eastAsia="宋体"/>
          <w:color w:val="auto"/>
          <w:sz w:val="32"/>
          <w:szCs w:val="32"/>
        </w:rPr>
        <w:fldChar w:fldCharType="begin"/>
      </w:r>
      <w:r>
        <w:rPr>
          <w:rFonts w:ascii="宋体" w:hAnsi="宋体" w:eastAsia="宋体"/>
          <w:color w:val="auto"/>
          <w:sz w:val="32"/>
          <w:szCs w:val="32"/>
        </w:rPr>
        <w:instrText xml:space="preserve"> </w:instrText>
      </w:r>
      <w:r>
        <w:rPr>
          <w:rFonts w:hint="eastAsia" w:ascii="宋体" w:hAnsi="宋体" w:eastAsia="宋体"/>
          <w:color w:val="auto"/>
          <w:sz w:val="32"/>
          <w:szCs w:val="32"/>
        </w:rPr>
        <w:instrText xml:space="preserve">TIME \@ "EEEE年O月A日"</w:instrText>
      </w:r>
      <w:r>
        <w:rPr>
          <w:rFonts w:ascii="宋体" w:hAnsi="宋体" w:eastAsia="宋体"/>
          <w:color w:val="auto"/>
          <w:sz w:val="32"/>
          <w:szCs w:val="32"/>
        </w:rPr>
        <w:instrText xml:space="preserve"> </w:instrText>
      </w:r>
      <w:r>
        <w:rPr>
          <w:rFonts w:ascii="宋体" w:hAnsi="宋体" w:eastAsia="宋体"/>
          <w:color w:val="auto"/>
          <w:sz w:val="32"/>
          <w:szCs w:val="32"/>
        </w:rPr>
        <w:fldChar w:fldCharType="separate"/>
      </w:r>
      <w:r>
        <w:rPr>
          <w:rFonts w:hint="eastAsia" w:ascii="宋体" w:hAnsi="宋体" w:eastAsia="宋体"/>
          <w:color w:val="auto"/>
          <w:sz w:val="32"/>
          <w:szCs w:val="32"/>
        </w:rPr>
        <w:t>二〇二三年二月二十四日</w:t>
      </w:r>
      <w:r>
        <w:rPr>
          <w:rFonts w:ascii="宋体" w:hAnsi="宋体" w:eastAsia="宋体"/>
          <w:color w:val="auto"/>
          <w:sz w:val="32"/>
          <w:szCs w:val="32"/>
        </w:rPr>
        <w:fldChar w:fldCharType="end"/>
      </w:r>
      <w:r>
        <w:rPr>
          <w:rFonts w:hint="eastAsia"/>
          <w:b/>
          <w:color w:val="auto"/>
          <w:sz w:val="44"/>
          <w:szCs w:val="44"/>
        </w:rPr>
        <w:br w:type="page"/>
      </w:r>
      <w:r>
        <w:rPr>
          <w:rFonts w:hint="eastAsia" w:ascii="方正小标宋简体" w:eastAsia="方正小标宋简体"/>
          <w:color w:val="auto"/>
          <w:sz w:val="36"/>
          <w:szCs w:val="36"/>
          <w:lang w:val="en-US" w:eastAsia="zh-CN"/>
        </w:rPr>
        <w:t>论证报告单</w:t>
      </w:r>
    </w:p>
    <w:tbl>
      <w:tblPr>
        <w:tblStyle w:val="14"/>
        <w:tblW w:w="1018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90"/>
        <w:gridCol w:w="4755"/>
        <w:gridCol w:w="1365"/>
        <w:gridCol w:w="24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jc w:val="center"/>
        </w:trPr>
        <w:tc>
          <w:tcPr>
            <w:tcW w:w="15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bidi w:val="0"/>
              <w:adjustRightInd w:val="0"/>
              <w:snapToGrid w:val="0"/>
              <w:spacing w:after="0" w:afterLines="0"/>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项目名称</w:t>
            </w:r>
          </w:p>
        </w:tc>
        <w:tc>
          <w:tcPr>
            <w:tcW w:w="47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adjustRightInd w:val="0"/>
              <w:snapToGrid w:val="0"/>
              <w:spacing w:after="0" w:afterLines="0"/>
              <w:ind w:firstLine="0" w:firstLineChars="0"/>
              <w:jc w:val="center"/>
              <w:textAlignment w:val="center"/>
              <w:rPr>
                <w:rFonts w:hint="eastAsia" w:ascii="宋体" w:hAnsi="宋体" w:eastAsia="宋体" w:cs="宋体"/>
                <w:i w:val="0"/>
                <w:iCs w:val="0"/>
                <w:color w:val="auto"/>
                <w:sz w:val="24"/>
                <w:szCs w:val="24"/>
                <w:u w:val="none"/>
              </w:rPr>
            </w:pPr>
            <w:r>
              <w:rPr>
                <w:rFonts w:hint="eastAsia" w:eastAsia="宋体" w:cs="Times New Roman"/>
                <w:b/>
                <w:bCs w:val="0"/>
                <w:sz w:val="28"/>
                <w:szCs w:val="28"/>
                <w:u w:val="none"/>
                <w:lang w:val="en-US" w:eastAsia="zh-CN"/>
              </w:rPr>
              <w:t>机电一体化智能实训平台</w:t>
            </w:r>
          </w:p>
        </w:tc>
        <w:tc>
          <w:tcPr>
            <w:tcW w:w="136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bidi w:val="0"/>
              <w:adjustRightInd w:val="0"/>
              <w:snapToGrid w:val="0"/>
              <w:spacing w:after="0" w:afterLines="0"/>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项目编号</w:t>
            </w:r>
          </w:p>
        </w:tc>
        <w:tc>
          <w:tcPr>
            <w:tcW w:w="2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adjustRightInd w:val="0"/>
              <w:snapToGrid w:val="0"/>
              <w:spacing w:after="0" w:afterLines="0"/>
              <w:ind w:firstLine="0" w:firstLineChars="0"/>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bidi w:val="0"/>
              <w:adjustRightInd w:val="0"/>
              <w:snapToGrid w:val="0"/>
              <w:spacing w:after="0" w:afterLines="0"/>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主持单位</w:t>
            </w:r>
          </w:p>
        </w:tc>
        <w:tc>
          <w:tcPr>
            <w:tcW w:w="8594"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bidi w:val="0"/>
              <w:adjustRightInd w:val="0"/>
              <w:snapToGrid w:val="0"/>
              <w:spacing w:after="0" w:afterLines="0"/>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湄洲湾职业技术学院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bidi w:val="0"/>
              <w:adjustRightInd w:val="0"/>
              <w:snapToGrid w:val="0"/>
              <w:spacing w:after="0" w:afterLines="0"/>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出席专家</w:t>
            </w:r>
          </w:p>
        </w:tc>
        <w:tc>
          <w:tcPr>
            <w:tcW w:w="3839"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bidi w:val="0"/>
              <w:adjustRightInd w:val="0"/>
              <w:snapToGrid w:val="0"/>
              <w:spacing w:after="0" w:afterLines="0"/>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bidi w:val="0"/>
              <w:adjustRightInd w:val="0"/>
              <w:snapToGrid w:val="0"/>
              <w:spacing w:after="0" w:afterLines="0"/>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专家一</w:t>
            </w:r>
          </w:p>
        </w:tc>
        <w:tc>
          <w:tcPr>
            <w:tcW w:w="4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bidi w:val="0"/>
              <w:adjustRightInd w:val="0"/>
              <w:snapToGrid w:val="0"/>
              <w:spacing w:after="0" w:afterLines="0"/>
              <w:ind w:firstLine="0" w:firstLineChars="0"/>
              <w:jc w:val="center"/>
              <w:textAlignment w:val="center"/>
              <w:rPr>
                <w:rFonts w:hint="eastAsia" w:ascii="宋体" w:hAnsi="宋体" w:eastAsia="宋体" w:cs="宋体"/>
                <w:i w:val="0"/>
                <w:iCs w:val="0"/>
                <w:color w:val="auto"/>
                <w:sz w:val="24"/>
                <w:szCs w:val="24"/>
                <w:u w:val="none"/>
              </w:rPr>
            </w:pPr>
          </w:p>
        </w:tc>
        <w:tc>
          <w:tcPr>
            <w:tcW w:w="3839"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bidi w:val="0"/>
              <w:adjustRightInd w:val="0"/>
              <w:snapToGrid w:val="0"/>
              <w:spacing w:after="0" w:afterLines="0"/>
              <w:ind w:firstLine="0" w:firstLineChars="0"/>
              <w:jc w:val="center"/>
              <w:textAlignment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bidi w:val="0"/>
              <w:adjustRightInd w:val="0"/>
              <w:snapToGrid w:val="0"/>
              <w:spacing w:after="0" w:afterLines="0"/>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专家二</w:t>
            </w:r>
          </w:p>
        </w:tc>
        <w:tc>
          <w:tcPr>
            <w:tcW w:w="4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bidi w:val="0"/>
              <w:adjustRightInd w:val="0"/>
              <w:snapToGrid w:val="0"/>
              <w:spacing w:after="0" w:afterLines="0"/>
              <w:ind w:firstLine="0" w:firstLineChars="0"/>
              <w:jc w:val="center"/>
              <w:textAlignment w:val="center"/>
              <w:rPr>
                <w:rFonts w:hint="eastAsia" w:ascii="宋体" w:hAnsi="宋体" w:eastAsia="宋体" w:cs="宋体"/>
                <w:i w:val="0"/>
                <w:iCs w:val="0"/>
                <w:color w:val="auto"/>
                <w:sz w:val="24"/>
                <w:szCs w:val="24"/>
                <w:u w:val="none"/>
              </w:rPr>
            </w:pPr>
          </w:p>
        </w:tc>
        <w:tc>
          <w:tcPr>
            <w:tcW w:w="3839"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bidi w:val="0"/>
              <w:adjustRightInd w:val="0"/>
              <w:snapToGrid w:val="0"/>
              <w:spacing w:after="0" w:afterLines="0"/>
              <w:ind w:firstLine="0" w:firstLineChars="0"/>
              <w:jc w:val="center"/>
              <w:textAlignment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bidi w:val="0"/>
              <w:adjustRightInd w:val="0"/>
              <w:snapToGrid w:val="0"/>
              <w:spacing w:after="0" w:afterLines="0"/>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专家三</w:t>
            </w:r>
          </w:p>
        </w:tc>
        <w:tc>
          <w:tcPr>
            <w:tcW w:w="4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bidi w:val="0"/>
              <w:adjustRightInd w:val="0"/>
              <w:snapToGrid w:val="0"/>
              <w:spacing w:after="0" w:afterLines="0"/>
              <w:ind w:firstLine="0" w:firstLineChars="0"/>
              <w:jc w:val="center"/>
              <w:textAlignment w:val="center"/>
              <w:rPr>
                <w:rFonts w:hint="eastAsia" w:ascii="宋体" w:hAnsi="宋体" w:eastAsia="宋体" w:cs="宋体"/>
                <w:i w:val="0"/>
                <w:iCs w:val="0"/>
                <w:color w:val="auto"/>
                <w:sz w:val="24"/>
                <w:szCs w:val="24"/>
                <w:u w:val="none"/>
              </w:rPr>
            </w:pPr>
          </w:p>
        </w:tc>
        <w:tc>
          <w:tcPr>
            <w:tcW w:w="3839"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bidi w:val="0"/>
              <w:adjustRightInd w:val="0"/>
              <w:snapToGrid w:val="0"/>
              <w:spacing w:after="0" w:afterLines="0"/>
              <w:ind w:firstLine="0" w:firstLineChars="0"/>
              <w:jc w:val="center"/>
              <w:textAlignment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bidi w:val="0"/>
              <w:adjustRightInd w:val="0"/>
              <w:snapToGrid w:val="0"/>
              <w:spacing w:after="0" w:afterLines="0"/>
              <w:ind w:firstLine="0" w:firstLineChars="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专家四</w:t>
            </w:r>
          </w:p>
        </w:tc>
        <w:tc>
          <w:tcPr>
            <w:tcW w:w="4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bidi w:val="0"/>
              <w:adjustRightInd w:val="0"/>
              <w:snapToGrid w:val="0"/>
              <w:spacing w:after="0" w:afterLines="0"/>
              <w:ind w:firstLine="0" w:firstLineChars="0"/>
              <w:jc w:val="center"/>
              <w:textAlignment w:val="center"/>
              <w:rPr>
                <w:rFonts w:hint="default" w:ascii="宋体" w:hAnsi="宋体" w:eastAsia="宋体" w:cs="宋体"/>
                <w:i w:val="0"/>
                <w:iCs w:val="0"/>
                <w:color w:val="auto"/>
                <w:sz w:val="24"/>
                <w:szCs w:val="24"/>
                <w:u w:val="none"/>
                <w:lang w:val="en-US"/>
              </w:rPr>
            </w:pPr>
          </w:p>
        </w:tc>
        <w:tc>
          <w:tcPr>
            <w:tcW w:w="3839"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bidi w:val="0"/>
              <w:adjustRightInd w:val="0"/>
              <w:snapToGrid w:val="0"/>
              <w:spacing w:after="0" w:afterLines="0"/>
              <w:ind w:firstLine="0" w:firstLineChars="0"/>
              <w:jc w:val="center"/>
              <w:textAlignment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bidi w:val="0"/>
              <w:adjustRightInd w:val="0"/>
              <w:snapToGrid w:val="0"/>
              <w:spacing w:after="0" w:afterLines="0"/>
              <w:ind w:firstLine="0" w:firstLineChars="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专家五</w:t>
            </w:r>
          </w:p>
        </w:tc>
        <w:tc>
          <w:tcPr>
            <w:tcW w:w="4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bidi w:val="0"/>
              <w:adjustRightInd w:val="0"/>
              <w:snapToGrid w:val="0"/>
              <w:spacing w:after="0" w:afterLines="0"/>
              <w:ind w:firstLine="0" w:firstLineChars="0"/>
              <w:jc w:val="center"/>
              <w:textAlignment w:val="center"/>
              <w:rPr>
                <w:rFonts w:hint="default" w:ascii="宋体" w:hAnsi="宋体" w:eastAsia="宋体" w:cs="宋体"/>
                <w:i w:val="0"/>
                <w:iCs w:val="0"/>
                <w:color w:val="auto"/>
                <w:sz w:val="24"/>
                <w:szCs w:val="24"/>
                <w:u w:val="none"/>
                <w:lang w:val="en-US"/>
              </w:rPr>
            </w:pPr>
          </w:p>
        </w:tc>
        <w:tc>
          <w:tcPr>
            <w:tcW w:w="3839"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bidi w:val="0"/>
              <w:adjustRightInd w:val="0"/>
              <w:snapToGrid w:val="0"/>
              <w:spacing w:after="0" w:afterLines="0"/>
              <w:ind w:firstLine="0" w:firstLineChars="0"/>
              <w:jc w:val="center"/>
              <w:textAlignment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0184" w:type="dxa"/>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bidi w:val="0"/>
              <w:adjustRightInd w:val="0"/>
              <w:snapToGrid w:val="0"/>
              <w:spacing w:after="0" w:afterLines="0"/>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专家结论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2" w:hRule="atLeast"/>
          <w:jc w:val="center"/>
        </w:trPr>
        <w:tc>
          <w:tcPr>
            <w:tcW w:w="10184"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360" w:lineRule="auto"/>
              <w:ind w:firstLine="480" w:firstLineChars="200"/>
              <w:jc w:val="left"/>
              <w:textAlignment w:val="bottom"/>
              <w:rPr>
                <w:rFonts w:hint="eastAsia"/>
                <w:sz w:val="24"/>
              </w:rPr>
            </w:pPr>
          </w:p>
          <w:p>
            <w:pPr>
              <w:pStyle w:val="13"/>
              <w:keepNext w:val="0"/>
              <w:keepLines w:val="0"/>
              <w:pageBreakBefore w:val="0"/>
              <w:kinsoku/>
              <w:wordWrap/>
              <w:overflowPunct/>
              <w:topLinePunct w:val="0"/>
              <w:autoSpaceDE/>
              <w:autoSpaceDN/>
              <w:bidi w:val="0"/>
              <w:spacing w:line="360" w:lineRule="auto"/>
              <w:rPr>
                <w:rFonts w:hint="eastAsia" w:ascii="宋体" w:hAnsi="宋体" w:eastAsia="宋体" w:cs="宋体"/>
                <w:b/>
                <w:bCs/>
                <w:i w:val="0"/>
                <w:iCs w:val="0"/>
                <w:color w:val="auto"/>
                <w:kern w:val="0"/>
                <w:sz w:val="24"/>
                <w:szCs w:val="24"/>
                <w:u w:val="none"/>
                <w:lang w:val="en-US" w:eastAsia="zh-CN" w:bidi="ar"/>
              </w:rPr>
            </w:pPr>
          </w:p>
          <w:p>
            <w:pPr>
              <w:rPr>
                <w:rFonts w:hint="eastAsia"/>
                <w:lang w:val="en-US" w:eastAsia="zh-CN"/>
              </w:rPr>
            </w:pPr>
          </w:p>
          <w:p>
            <w:pPr>
              <w:pStyle w:val="13"/>
              <w:rPr>
                <w:rFonts w:hint="eastAsia"/>
                <w:lang w:val="en-US" w:eastAsia="zh-CN"/>
              </w:rPr>
            </w:pPr>
          </w:p>
          <w:p>
            <w:pPr>
              <w:rPr>
                <w:rFonts w:hint="eastAsia"/>
                <w:lang w:val="en-US" w:eastAsia="zh-CN"/>
              </w:rPr>
            </w:pPr>
          </w:p>
          <w:p>
            <w:pPr>
              <w:pStyle w:val="13"/>
              <w:rPr>
                <w:rFonts w:hint="eastAsia"/>
                <w:lang w:val="en-US" w:eastAsia="zh-CN"/>
              </w:rPr>
            </w:pPr>
          </w:p>
          <w:p>
            <w:pPr>
              <w:rPr>
                <w:rFonts w:hint="eastAsia"/>
                <w:lang w:val="en-US" w:eastAsia="zh-CN"/>
              </w:rPr>
            </w:pPr>
          </w:p>
          <w:p>
            <w:pPr>
              <w:rPr>
                <w:rFonts w:hint="eastAsia"/>
                <w:lang w:val="en-US" w:eastAsia="zh-CN"/>
              </w:rPr>
            </w:pPr>
          </w:p>
          <w:p>
            <w:pPr>
              <w:keepNext w:val="0"/>
              <w:keepLines w:val="0"/>
              <w:pageBreakBefore w:val="0"/>
              <w:widowControl/>
              <w:suppressLineNumbers w:val="0"/>
              <w:kinsoku/>
              <w:wordWrap/>
              <w:overflowPunct/>
              <w:topLinePunct w:val="0"/>
              <w:bidi w:val="0"/>
              <w:adjustRightInd w:val="0"/>
              <w:snapToGrid w:val="0"/>
              <w:spacing w:after="0" w:afterLines="0"/>
              <w:ind w:firstLine="0" w:firstLineChars="0"/>
              <w:jc w:val="center"/>
              <w:textAlignment w:val="bottom"/>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 xml:space="preserve">专家签名：                                                       </w:t>
            </w:r>
            <w:r>
              <w:rPr>
                <w:rFonts w:hint="eastAsia" w:ascii="宋体" w:hAnsi="宋体" w:cs="宋体"/>
                <w:b/>
                <w:bCs/>
                <w:i w:val="0"/>
                <w:iCs w:val="0"/>
                <w:color w:val="auto"/>
                <w:kern w:val="0"/>
                <w:sz w:val="24"/>
                <w:szCs w:val="24"/>
                <w:u w:val="none"/>
                <w:lang w:val="en-US" w:eastAsia="zh-CN" w:bidi="ar"/>
              </w:rPr>
              <w:t>2023</w:t>
            </w:r>
            <w:r>
              <w:rPr>
                <w:rFonts w:hint="eastAsia" w:ascii="宋体" w:hAnsi="宋体" w:eastAsia="宋体" w:cs="宋体"/>
                <w:b/>
                <w:bCs/>
                <w:i w:val="0"/>
                <w:iCs w:val="0"/>
                <w:color w:val="auto"/>
                <w:kern w:val="0"/>
                <w:sz w:val="24"/>
                <w:szCs w:val="24"/>
                <w:u w:val="none"/>
                <w:lang w:val="en-US" w:eastAsia="zh-CN" w:bidi="ar"/>
              </w:rPr>
              <w:t>年</w:t>
            </w:r>
            <w:r>
              <w:rPr>
                <w:rFonts w:hint="eastAsia" w:ascii="宋体" w:hAnsi="宋体" w:cs="宋体"/>
                <w:b/>
                <w:bCs/>
                <w:i w:val="0"/>
                <w:iCs w:val="0"/>
                <w:color w:val="auto"/>
                <w:kern w:val="0"/>
                <w:sz w:val="24"/>
                <w:szCs w:val="24"/>
                <w:u w:val="none"/>
                <w:lang w:val="en-US" w:eastAsia="zh-CN" w:bidi="ar"/>
              </w:rPr>
              <w:t xml:space="preserve">  </w:t>
            </w:r>
            <w:r>
              <w:rPr>
                <w:rFonts w:hint="eastAsia" w:ascii="宋体" w:hAnsi="宋体" w:eastAsia="宋体" w:cs="宋体"/>
                <w:b/>
                <w:bCs/>
                <w:i w:val="0"/>
                <w:iCs w:val="0"/>
                <w:color w:val="auto"/>
                <w:kern w:val="0"/>
                <w:sz w:val="24"/>
                <w:szCs w:val="24"/>
                <w:u w:val="none"/>
                <w:lang w:val="en-US" w:eastAsia="zh-CN" w:bidi="ar"/>
              </w:rPr>
              <w:t>月</w:t>
            </w:r>
            <w:r>
              <w:rPr>
                <w:rFonts w:hint="eastAsia" w:ascii="宋体" w:hAnsi="宋体" w:cs="宋体"/>
                <w:b/>
                <w:bCs/>
                <w:i w:val="0"/>
                <w:iCs w:val="0"/>
                <w:color w:val="auto"/>
                <w:kern w:val="0"/>
                <w:sz w:val="24"/>
                <w:szCs w:val="24"/>
                <w:u w:val="none"/>
                <w:lang w:val="en-US" w:eastAsia="zh-CN" w:bidi="ar"/>
              </w:rPr>
              <w:t xml:space="preserve">  </w:t>
            </w:r>
            <w:r>
              <w:rPr>
                <w:rFonts w:hint="eastAsia" w:ascii="宋体" w:hAnsi="宋体" w:eastAsia="宋体" w:cs="宋体"/>
                <w:b/>
                <w:bCs/>
                <w:i w:val="0"/>
                <w:iCs w:val="0"/>
                <w:color w:val="auto"/>
                <w:kern w:val="0"/>
                <w:sz w:val="24"/>
                <w:szCs w:val="24"/>
                <w:u w:val="none"/>
                <w:lang w:val="en-US" w:eastAsia="zh-CN" w:bidi="ar"/>
              </w:rPr>
              <w:t>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4" w:hRule="atLeast"/>
          <w:jc w:val="center"/>
        </w:trPr>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adjustRightInd w:val="0"/>
              <w:snapToGrid w:val="0"/>
              <w:spacing w:after="0" w:afterLines="0"/>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使用部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门意见</w:t>
            </w:r>
          </w:p>
        </w:tc>
        <w:tc>
          <w:tcPr>
            <w:tcW w:w="8594"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bidi w:val="0"/>
              <w:adjustRightInd w:val="0"/>
              <w:snapToGrid w:val="0"/>
              <w:spacing w:after="0" w:afterLines="0"/>
              <w:ind w:firstLine="0" w:firstLineChars="0"/>
              <w:jc w:val="both"/>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jc w:val="center"/>
        </w:trPr>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adjustRightInd w:val="0"/>
              <w:snapToGrid w:val="0"/>
              <w:spacing w:after="0" w:afterLines="0"/>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监督部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门意见</w:t>
            </w:r>
          </w:p>
        </w:tc>
        <w:tc>
          <w:tcPr>
            <w:tcW w:w="8594"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bidi w:val="0"/>
              <w:adjustRightInd w:val="0"/>
              <w:snapToGrid w:val="0"/>
              <w:spacing w:after="0" w:afterLines="0"/>
              <w:ind w:firstLine="0" w:firstLineChars="0"/>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bidi w:val="0"/>
              <w:adjustRightInd w:val="0"/>
              <w:snapToGrid w:val="0"/>
              <w:spacing w:after="0" w:afterLines="0"/>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结论</w:t>
            </w:r>
          </w:p>
        </w:tc>
        <w:tc>
          <w:tcPr>
            <w:tcW w:w="8594"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bidi w:val="0"/>
              <w:adjustRightInd w:val="0"/>
              <w:snapToGrid w:val="0"/>
              <w:spacing w:after="0" w:afterLines="0"/>
              <w:ind w:firstLine="0" w:firstLineChars="0"/>
              <w:jc w:val="center"/>
              <w:rPr>
                <w:rFonts w:hint="eastAsia" w:ascii="宋体" w:hAnsi="宋体" w:eastAsia="宋体" w:cs="宋体"/>
                <w:i w:val="0"/>
                <w:iCs w:val="0"/>
                <w:color w:val="auto"/>
                <w:sz w:val="24"/>
                <w:szCs w:val="24"/>
                <w:u w:val="none"/>
              </w:rPr>
            </w:pPr>
          </w:p>
        </w:tc>
      </w:tr>
    </w:tbl>
    <w:p>
      <w:pPr>
        <w:spacing w:after="78"/>
        <w:ind w:firstLine="0" w:firstLineChars="0"/>
        <w:jc w:val="center"/>
        <w:rPr>
          <w:rFonts w:hint="eastAsia"/>
          <w:b/>
          <w:color w:val="auto"/>
          <w:sz w:val="44"/>
          <w:szCs w:val="44"/>
        </w:rPr>
      </w:pPr>
    </w:p>
    <w:p>
      <w:pPr>
        <w:spacing w:after="78"/>
        <w:ind w:firstLine="0" w:firstLineChars="0"/>
        <w:jc w:val="center"/>
        <w:rPr>
          <w:rFonts w:hint="eastAsia"/>
          <w:b/>
          <w:color w:val="auto"/>
          <w:sz w:val="44"/>
          <w:szCs w:val="44"/>
        </w:rPr>
      </w:pPr>
      <w:r>
        <w:rPr>
          <w:rFonts w:hint="eastAsia"/>
          <w:b/>
          <w:color w:val="auto"/>
          <w:sz w:val="44"/>
          <w:szCs w:val="44"/>
        </w:rPr>
        <w:t>采购品目详细</w:t>
      </w:r>
      <w:r>
        <w:rPr>
          <w:rFonts w:hint="eastAsia"/>
          <w:b/>
          <w:color w:val="auto"/>
          <w:sz w:val="44"/>
          <w:szCs w:val="44"/>
          <w:lang w:val="en-US" w:eastAsia="zh-CN"/>
        </w:rPr>
        <w:t>评标标准及技术参数</w:t>
      </w:r>
      <w:r>
        <w:rPr>
          <w:rFonts w:hint="eastAsia"/>
          <w:b/>
          <w:color w:val="auto"/>
          <w:sz w:val="44"/>
          <w:szCs w:val="44"/>
        </w:rPr>
        <w:t>资料</w:t>
      </w:r>
    </w:p>
    <w:p>
      <w:pPr>
        <w:pStyle w:val="3"/>
        <w:pageBreakBefore w:val="0"/>
        <w:numPr>
          <w:ilvl w:val="0"/>
          <w:numId w:val="1"/>
        </w:numPr>
        <w:kinsoku/>
        <w:wordWrap/>
        <w:overflowPunct/>
        <w:topLinePunct w:val="0"/>
        <w:autoSpaceDE/>
        <w:autoSpaceDN/>
        <w:bidi w:val="0"/>
        <w:spacing w:before="0" w:after="0" w:line="240" w:lineRule="auto"/>
        <w:textAlignment w:val="auto"/>
        <w:rPr>
          <w:rFonts w:hint="eastAsia" w:ascii="宋体" w:hAnsi="宋体" w:eastAsia="宋体" w:cs="宋体"/>
          <w:b/>
          <w:bCs/>
          <w:i w:val="0"/>
          <w:iCs w:val="0"/>
          <w:color w:val="auto"/>
          <w:sz w:val="24"/>
          <w:szCs w:val="24"/>
        </w:rPr>
      </w:pPr>
      <w:r>
        <w:rPr>
          <w:rFonts w:hint="eastAsia" w:ascii="宋体" w:hAnsi="宋体" w:eastAsia="宋体" w:cs="宋体"/>
          <w:b/>
          <w:bCs/>
          <w:i w:val="0"/>
          <w:iCs w:val="0"/>
          <w:color w:val="auto"/>
          <w:sz w:val="24"/>
          <w:szCs w:val="24"/>
        </w:rPr>
        <w:t>评标方法和</w:t>
      </w:r>
      <w:r>
        <w:rPr>
          <w:rFonts w:hint="eastAsia" w:ascii="宋体" w:hAnsi="宋体" w:eastAsia="宋体" w:cs="宋体"/>
          <w:b/>
          <w:bCs/>
          <w:i w:val="0"/>
          <w:iCs w:val="0"/>
          <w:color w:val="auto"/>
          <w:sz w:val="24"/>
          <w:szCs w:val="24"/>
          <w:lang w:val="en-US" w:eastAsia="zh-CN"/>
        </w:rPr>
        <w:t>评</w:t>
      </w:r>
      <w:r>
        <w:rPr>
          <w:rFonts w:hint="eastAsia" w:ascii="宋体" w:hAnsi="宋体" w:eastAsia="宋体" w:cs="宋体"/>
          <w:b/>
          <w:bCs/>
          <w:i w:val="0"/>
          <w:iCs w:val="0"/>
          <w:color w:val="auto"/>
          <w:sz w:val="24"/>
          <w:szCs w:val="24"/>
        </w:rPr>
        <w:t>标标准</w:t>
      </w:r>
    </w:p>
    <w:p>
      <w:pPr>
        <w:pageBreakBefore w:val="0"/>
        <w:numPr>
          <w:ilvl w:val="0"/>
          <w:numId w:val="0"/>
        </w:numPr>
        <w:kinsoku/>
        <w:wordWrap/>
        <w:overflowPunct/>
        <w:topLinePunct w:val="0"/>
        <w:autoSpaceDE/>
        <w:autoSpaceDN/>
        <w:bidi w:val="0"/>
        <w:spacing w:line="240" w:lineRule="auto"/>
        <w:ind w:leftChars="0"/>
        <w:textAlignment w:val="auto"/>
        <w:rPr>
          <w:rFonts w:hint="eastAsia" w:ascii="宋体" w:hAnsi="宋体" w:eastAsia="宋体" w:cs="宋体"/>
          <w:b w:val="0"/>
          <w:bCs w:val="0"/>
          <w:i w:val="0"/>
          <w:iCs w:val="0"/>
          <w:color w:val="auto"/>
        </w:rPr>
      </w:pPr>
      <w:r>
        <w:rPr>
          <w:rFonts w:hint="eastAsia" w:ascii="宋体" w:hAnsi="宋体" w:eastAsia="宋体" w:cs="宋体"/>
          <w:b w:val="0"/>
          <w:bCs w:val="0"/>
          <w:i w:val="0"/>
          <w:iCs w:val="0"/>
          <w:color w:val="auto"/>
        </w:rPr>
        <w:t>评标方法： 最低评标价法。</w:t>
      </w:r>
    </w:p>
    <w:p>
      <w:pPr>
        <w:pageBreakBefore w:val="0"/>
        <w:kinsoku/>
        <w:wordWrap/>
        <w:overflowPunct/>
        <w:topLinePunct w:val="0"/>
        <w:autoSpaceDE/>
        <w:autoSpaceDN/>
        <w:bidi w:val="0"/>
        <w:spacing w:line="240" w:lineRule="auto"/>
        <w:textAlignment w:val="auto"/>
        <w:rPr>
          <w:rFonts w:hint="eastAsia" w:ascii="宋体" w:hAnsi="宋体" w:eastAsia="宋体" w:cs="宋体"/>
          <w:b w:val="0"/>
          <w:bCs w:val="0"/>
          <w:i w:val="0"/>
          <w:iCs w:val="0"/>
          <w:color w:val="auto"/>
        </w:rPr>
      </w:pPr>
      <w:r>
        <w:rPr>
          <w:rFonts w:hint="eastAsia" w:ascii="宋体" w:hAnsi="宋体" w:eastAsia="宋体" w:cs="宋体"/>
          <w:b w:val="0"/>
          <w:bCs w:val="0"/>
          <w:i w:val="0"/>
          <w:iCs w:val="0"/>
          <w:color w:val="auto"/>
          <w:lang w:val="en-US" w:eastAsia="zh-CN"/>
        </w:rPr>
        <w:t>释：</w:t>
      </w:r>
      <w:r>
        <w:rPr>
          <w:rFonts w:hint="eastAsia" w:ascii="宋体" w:hAnsi="宋体" w:eastAsia="宋体" w:cs="宋体"/>
          <w:b w:val="0"/>
          <w:bCs w:val="0"/>
          <w:i w:val="0"/>
          <w:iCs w:val="0"/>
          <w:color w:val="auto"/>
        </w:rPr>
        <w:t>最低评标价法，是指投标文件满足招标文件全部实质性要求且投标报价最低的供应商为中标候选人的评标方法。</w:t>
      </w:r>
    </w:p>
    <w:p>
      <w:pPr>
        <w:pStyle w:val="3"/>
        <w:pageBreakBefore w:val="0"/>
        <w:numPr>
          <w:ilvl w:val="0"/>
          <w:numId w:val="1"/>
        </w:numPr>
        <w:kinsoku/>
        <w:wordWrap/>
        <w:overflowPunct/>
        <w:topLinePunct w:val="0"/>
        <w:autoSpaceDE/>
        <w:autoSpaceDN/>
        <w:bidi w:val="0"/>
        <w:spacing w:before="0" w:after="0" w:line="240" w:lineRule="auto"/>
        <w:textAlignment w:val="auto"/>
        <w:rPr>
          <w:rFonts w:hint="eastAsia" w:ascii="宋体" w:hAnsi="宋体" w:cs="Arial"/>
          <w:color w:val="auto"/>
          <w:sz w:val="24"/>
          <w:szCs w:val="24"/>
        </w:rPr>
      </w:pPr>
      <w:r>
        <w:rPr>
          <w:rFonts w:hint="eastAsia" w:ascii="宋体" w:hAnsi="宋体" w:cs="Arial"/>
          <w:color w:val="auto"/>
          <w:sz w:val="24"/>
          <w:szCs w:val="24"/>
        </w:rPr>
        <w:t>商务</w:t>
      </w:r>
      <w:r>
        <w:rPr>
          <w:rFonts w:hint="eastAsia" w:ascii="宋体" w:hAnsi="宋体" w:cs="Arial"/>
          <w:color w:val="auto"/>
          <w:sz w:val="24"/>
          <w:szCs w:val="24"/>
          <w:lang w:val="en-US" w:eastAsia="zh-CN"/>
        </w:rPr>
        <w:t>要求（</w:t>
      </w:r>
      <w:r>
        <w:rPr>
          <w:rFonts w:hint="eastAsia" w:ascii="仿宋_GB2312" w:hAnsi="仿宋_GB2312" w:eastAsia="仿宋_GB2312" w:cs="仿宋_GB2312"/>
          <w:b w:val="0"/>
          <w:bCs w:val="0"/>
          <w:i/>
          <w:iCs/>
          <w:color w:val="auto"/>
          <w:kern w:val="24"/>
          <w:sz w:val="24"/>
          <w:szCs w:val="24"/>
          <w:lang w:val="en-US" w:eastAsia="zh-CN" w:bidi="ar-SA"/>
        </w:rPr>
        <w:t>包含但不限于以下项目</w:t>
      </w:r>
      <w:r>
        <w:rPr>
          <w:rFonts w:hint="eastAsia" w:ascii="宋体" w:hAnsi="宋体" w:cs="Arial"/>
          <w:color w:val="auto"/>
          <w:sz w:val="24"/>
          <w:szCs w:val="24"/>
          <w:lang w:val="en-US" w:eastAsia="zh-CN"/>
        </w:rPr>
        <w:t>）</w:t>
      </w:r>
    </w:p>
    <w:p>
      <w:pPr>
        <w:pageBreakBefore w:val="0"/>
        <w:numPr>
          <w:ilvl w:val="0"/>
          <w:numId w:val="2"/>
        </w:numPr>
        <w:kinsoku/>
        <w:wordWrap/>
        <w:overflowPunct/>
        <w:topLinePunct w:val="0"/>
        <w:autoSpaceDE/>
        <w:autoSpaceDN/>
        <w:bidi w:val="0"/>
        <w:spacing w:line="240" w:lineRule="auto"/>
        <w:ind w:left="425" w:leftChars="0" w:hanging="425" w:firstLineChars="0"/>
        <w:textAlignment w:val="auto"/>
        <w:rPr>
          <w:rFonts w:hint="eastAsia"/>
          <w:color w:val="auto"/>
        </w:rPr>
      </w:pPr>
      <w:r>
        <w:rPr>
          <w:rFonts w:hint="eastAsia"/>
          <w:b/>
          <w:color w:val="auto"/>
        </w:rPr>
        <w:t>项目需求单位：</w:t>
      </w:r>
      <w:r>
        <w:rPr>
          <w:rFonts w:hint="eastAsia" w:ascii="仿宋_GB2312" w:hAnsi="仿宋_GB2312" w:eastAsia="仿宋_GB2312" w:cs="仿宋_GB2312"/>
          <w:b w:val="0"/>
          <w:bCs w:val="0"/>
          <w:i/>
          <w:iCs/>
          <w:color w:val="auto"/>
          <w:kern w:val="24"/>
          <w:sz w:val="24"/>
          <w:szCs w:val="24"/>
          <w:lang w:val="en-US" w:eastAsia="zh-CN" w:bidi="ar-SA"/>
        </w:rPr>
        <w:t>湄洲湾职业技术学院</w:t>
      </w:r>
    </w:p>
    <w:p>
      <w:pPr>
        <w:pageBreakBefore w:val="0"/>
        <w:numPr>
          <w:ilvl w:val="0"/>
          <w:numId w:val="2"/>
        </w:numPr>
        <w:kinsoku/>
        <w:wordWrap/>
        <w:overflowPunct/>
        <w:topLinePunct w:val="0"/>
        <w:autoSpaceDE/>
        <w:autoSpaceDN/>
        <w:bidi w:val="0"/>
        <w:spacing w:line="240" w:lineRule="auto"/>
        <w:ind w:left="425" w:leftChars="0" w:hanging="425" w:firstLineChars="0"/>
        <w:textAlignment w:val="auto"/>
        <w:rPr>
          <w:rFonts w:hint="eastAsia"/>
          <w:color w:val="auto"/>
          <w:lang w:val="en-US" w:eastAsia="zh-CN"/>
        </w:rPr>
      </w:pPr>
      <w:r>
        <w:rPr>
          <w:rFonts w:hint="eastAsia"/>
          <w:b/>
          <w:color w:val="auto"/>
        </w:rPr>
        <w:t>项目需求名称及数量：</w:t>
      </w:r>
      <w:r>
        <w:rPr>
          <w:rFonts w:hint="eastAsia"/>
          <w:color w:val="auto"/>
          <w:lang w:val="en-US" w:eastAsia="zh-CN"/>
        </w:rPr>
        <w:t xml:space="preserve"> </w:t>
      </w:r>
      <w:r>
        <w:rPr>
          <w:rFonts w:hint="eastAsia"/>
        </w:rPr>
        <w:t>机电一体化智能实训平台</w:t>
      </w:r>
    </w:p>
    <w:p>
      <w:pPr>
        <w:pageBreakBefore w:val="0"/>
        <w:numPr>
          <w:ilvl w:val="0"/>
          <w:numId w:val="2"/>
        </w:numPr>
        <w:kinsoku/>
        <w:wordWrap/>
        <w:overflowPunct/>
        <w:topLinePunct w:val="0"/>
        <w:autoSpaceDE/>
        <w:autoSpaceDN/>
        <w:bidi w:val="0"/>
        <w:spacing w:line="240" w:lineRule="auto"/>
        <w:ind w:left="425" w:leftChars="0" w:hanging="425" w:firstLineChars="0"/>
        <w:textAlignment w:val="auto"/>
        <w:rPr>
          <w:rFonts w:hint="eastAsia"/>
          <w:b/>
          <w:color w:val="auto"/>
        </w:rPr>
      </w:pPr>
      <w:r>
        <w:rPr>
          <w:rFonts w:hint="eastAsia"/>
          <w:b/>
          <w:bCs/>
          <w:color w:val="auto"/>
          <w:lang w:val="en-US" w:eastAsia="zh-CN"/>
        </w:rPr>
        <w:t>投标人资格要求：</w:t>
      </w:r>
      <w:r>
        <w:rPr>
          <w:rFonts w:hint="eastAsia" w:eastAsia="宋体" w:cs="Times New Roman"/>
        </w:rPr>
        <w:t>具备履行合同所必需设备和专业技术能力</w:t>
      </w:r>
    </w:p>
    <w:p>
      <w:pPr>
        <w:pageBreakBefore w:val="0"/>
        <w:numPr>
          <w:ilvl w:val="0"/>
          <w:numId w:val="2"/>
        </w:numPr>
        <w:kinsoku/>
        <w:wordWrap/>
        <w:overflowPunct/>
        <w:topLinePunct w:val="0"/>
        <w:autoSpaceDE/>
        <w:autoSpaceDN/>
        <w:bidi w:val="0"/>
        <w:spacing w:line="240" w:lineRule="auto"/>
        <w:ind w:left="425" w:leftChars="0" w:hanging="425" w:firstLineChars="0"/>
        <w:textAlignment w:val="auto"/>
        <w:rPr>
          <w:rFonts w:hint="eastAsia"/>
          <w:b/>
          <w:color w:val="auto"/>
        </w:rPr>
      </w:pPr>
      <w:r>
        <w:rPr>
          <w:rFonts w:hint="eastAsia"/>
          <w:b/>
          <w:color w:val="auto"/>
        </w:rPr>
        <w:t>项目交货地点：</w:t>
      </w:r>
      <w:r>
        <w:rPr>
          <w:rFonts w:hint="eastAsia" w:ascii="宋体" w:hAnsi="宋体" w:eastAsia="宋体" w:cs="宋体"/>
          <w:spacing w:val="0"/>
          <w:sz w:val="24"/>
          <w:szCs w:val="24"/>
        </w:rPr>
        <w:t>采购人指定地点</w:t>
      </w:r>
    </w:p>
    <w:p>
      <w:pPr>
        <w:pageBreakBefore w:val="0"/>
        <w:numPr>
          <w:ilvl w:val="0"/>
          <w:numId w:val="2"/>
        </w:numPr>
        <w:kinsoku/>
        <w:wordWrap/>
        <w:overflowPunct/>
        <w:topLinePunct w:val="0"/>
        <w:autoSpaceDE/>
        <w:autoSpaceDN/>
        <w:bidi w:val="0"/>
        <w:spacing w:line="240" w:lineRule="auto"/>
        <w:ind w:left="425" w:leftChars="0" w:hanging="425" w:firstLineChars="0"/>
        <w:textAlignment w:val="auto"/>
        <w:rPr>
          <w:rFonts w:hint="eastAsia"/>
          <w:color w:val="auto"/>
        </w:rPr>
      </w:pPr>
      <w:r>
        <w:rPr>
          <w:rFonts w:hint="eastAsia"/>
          <w:b/>
          <w:color w:val="auto"/>
        </w:rPr>
        <w:t>项目交货方式：</w:t>
      </w:r>
      <w:r>
        <w:rPr>
          <w:rFonts w:hint="eastAsia" w:ascii="宋体" w:hAnsi="宋体" w:eastAsia="宋体" w:cs="宋体"/>
          <w:spacing w:val="0"/>
          <w:sz w:val="24"/>
          <w:szCs w:val="24"/>
          <w:lang w:val="en-US" w:eastAsia="zh-CN"/>
        </w:rPr>
        <w:t>送货上门</w:t>
      </w:r>
    </w:p>
    <w:p>
      <w:pPr>
        <w:pageBreakBefore w:val="0"/>
        <w:numPr>
          <w:ilvl w:val="0"/>
          <w:numId w:val="2"/>
        </w:numPr>
        <w:kinsoku/>
        <w:wordWrap/>
        <w:overflowPunct/>
        <w:topLinePunct w:val="0"/>
        <w:autoSpaceDE/>
        <w:autoSpaceDN/>
        <w:bidi w:val="0"/>
        <w:spacing w:line="240" w:lineRule="auto"/>
        <w:ind w:left="425" w:leftChars="0" w:hanging="425" w:firstLineChars="0"/>
        <w:textAlignment w:val="auto"/>
        <w:rPr>
          <w:rFonts w:hint="eastAsia"/>
          <w:color w:val="auto"/>
        </w:rPr>
      </w:pPr>
      <w:r>
        <w:rPr>
          <w:rFonts w:hint="eastAsia"/>
          <w:b/>
          <w:color w:val="auto"/>
        </w:rPr>
        <w:t>交货期限：</w:t>
      </w:r>
      <w:r>
        <w:rPr>
          <w:rFonts w:hint="eastAsia" w:ascii="宋体" w:hAnsi="宋体" w:eastAsia="宋体" w:cs="宋体"/>
          <w:spacing w:val="0"/>
          <w:sz w:val="24"/>
          <w:szCs w:val="24"/>
        </w:rPr>
        <w:t>签订合同</w:t>
      </w:r>
      <w:r>
        <w:rPr>
          <w:rFonts w:hint="eastAsia" w:ascii="宋体" w:hAnsi="宋体" w:cs="宋体"/>
          <w:spacing w:val="0"/>
          <w:sz w:val="24"/>
          <w:szCs w:val="24"/>
          <w:lang w:val="en-US" w:eastAsia="zh-CN"/>
        </w:rPr>
        <w:t>30</w:t>
      </w:r>
      <w:r>
        <w:rPr>
          <w:rFonts w:hint="eastAsia" w:ascii="宋体" w:hAnsi="宋体" w:eastAsia="宋体" w:cs="宋体"/>
          <w:spacing w:val="0"/>
          <w:sz w:val="24"/>
          <w:szCs w:val="24"/>
        </w:rPr>
        <w:t>天内完成安装及调试</w:t>
      </w:r>
    </w:p>
    <w:p>
      <w:pPr>
        <w:pageBreakBefore w:val="0"/>
        <w:numPr>
          <w:ilvl w:val="0"/>
          <w:numId w:val="2"/>
        </w:numPr>
        <w:kinsoku/>
        <w:wordWrap/>
        <w:overflowPunct/>
        <w:topLinePunct w:val="0"/>
        <w:autoSpaceDE/>
        <w:autoSpaceDN/>
        <w:bidi w:val="0"/>
        <w:spacing w:line="240" w:lineRule="auto"/>
        <w:ind w:left="425" w:leftChars="0" w:hanging="425" w:firstLineChars="0"/>
        <w:textAlignment w:val="auto"/>
        <w:rPr>
          <w:rFonts w:hint="eastAsia"/>
          <w:color w:val="auto"/>
        </w:rPr>
      </w:pPr>
      <w:r>
        <w:rPr>
          <w:rFonts w:hint="eastAsia"/>
          <w:b/>
          <w:color w:val="auto"/>
        </w:rPr>
        <w:t>验收标准</w:t>
      </w:r>
      <w:r>
        <w:rPr>
          <w:rFonts w:hint="eastAsia"/>
          <w:color w:val="auto"/>
        </w:rPr>
        <w:t>：</w:t>
      </w:r>
      <w:r>
        <w:rPr>
          <w:rFonts w:hint="eastAsia" w:ascii="宋体" w:hAnsi="宋体" w:eastAsia="宋体" w:cs="宋体"/>
          <w:spacing w:val="0"/>
          <w:sz w:val="24"/>
          <w:szCs w:val="24"/>
        </w:rPr>
        <w:t>验收合格后交付使用</w:t>
      </w:r>
    </w:p>
    <w:p>
      <w:pPr>
        <w:pageBreakBefore w:val="0"/>
        <w:numPr>
          <w:ilvl w:val="0"/>
          <w:numId w:val="2"/>
        </w:numPr>
        <w:kinsoku/>
        <w:wordWrap/>
        <w:overflowPunct/>
        <w:topLinePunct w:val="0"/>
        <w:autoSpaceDE/>
        <w:autoSpaceDN/>
        <w:bidi w:val="0"/>
        <w:spacing w:line="240" w:lineRule="auto"/>
        <w:ind w:left="425" w:leftChars="0" w:hanging="425" w:firstLineChars="0"/>
        <w:textAlignment w:val="auto"/>
        <w:rPr>
          <w:rFonts w:hint="eastAsia"/>
          <w:b/>
          <w:color w:val="auto"/>
        </w:rPr>
      </w:pPr>
      <w:r>
        <w:rPr>
          <w:rFonts w:hint="eastAsia"/>
          <w:b/>
          <w:color w:val="auto"/>
        </w:rPr>
        <w:t>质保期：</w:t>
      </w:r>
      <w:r>
        <w:rPr>
          <w:rFonts w:hint="eastAsia" w:ascii="宋体" w:hAnsi="宋体" w:eastAsia="宋体" w:cs="宋体"/>
          <w:sz w:val="24"/>
          <w:szCs w:val="24"/>
        </w:rPr>
        <w:t>免费质保期为（12）个月</w:t>
      </w:r>
    </w:p>
    <w:p>
      <w:pPr>
        <w:pageBreakBefore w:val="0"/>
        <w:numPr>
          <w:ilvl w:val="0"/>
          <w:numId w:val="2"/>
        </w:numPr>
        <w:kinsoku/>
        <w:wordWrap/>
        <w:overflowPunct/>
        <w:topLinePunct w:val="0"/>
        <w:autoSpaceDE/>
        <w:autoSpaceDN/>
        <w:bidi w:val="0"/>
        <w:spacing w:line="240" w:lineRule="auto"/>
        <w:ind w:left="425" w:leftChars="0" w:hanging="425" w:firstLineChars="0"/>
        <w:textAlignment w:val="auto"/>
        <w:rPr>
          <w:rFonts w:hint="eastAsia"/>
          <w:b/>
          <w:color w:val="auto"/>
        </w:rPr>
      </w:pPr>
      <w:r>
        <w:rPr>
          <w:rFonts w:hint="eastAsia"/>
          <w:b/>
          <w:color w:val="auto"/>
        </w:rPr>
        <w:t>售后服务要求</w:t>
      </w:r>
      <w:r>
        <w:rPr>
          <w:rFonts w:hint="eastAsia"/>
          <w:b/>
          <w:color w:val="auto"/>
          <w:lang w:val="en-US" w:eastAsia="zh-CN"/>
        </w:rPr>
        <w:t>:</w:t>
      </w:r>
    </w:p>
    <w:p>
      <w:pPr>
        <w:pStyle w:val="12"/>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jc w:val="left"/>
        <w:textAlignment w:val="auto"/>
        <w:rPr>
          <w:rFonts w:hint="eastAsia" w:ascii="宋体" w:hAnsi="宋体" w:eastAsia="宋体" w:cs="宋体"/>
          <w:spacing w:val="0"/>
          <w:kern w:val="2"/>
          <w:sz w:val="24"/>
          <w:szCs w:val="24"/>
          <w:lang w:val="en-US" w:eastAsia="zh-CN" w:bidi="ar-SA"/>
        </w:rPr>
      </w:pPr>
      <w:r>
        <w:rPr>
          <w:rFonts w:hint="eastAsia" w:ascii="宋体" w:hAnsi="宋体" w:eastAsia="宋体" w:cs="宋体"/>
          <w:spacing w:val="0"/>
          <w:kern w:val="2"/>
          <w:sz w:val="24"/>
          <w:szCs w:val="24"/>
          <w:lang w:val="en-US" w:eastAsia="zh-CN" w:bidi="ar-SA"/>
        </w:rPr>
        <w:t>（1）供应商对提供的货物或服务，因产品及服务质量、或知识产权纠纷等问题，必须提供保修、包换、包退等服务。</w:t>
      </w:r>
    </w:p>
    <w:p>
      <w:pPr>
        <w:pStyle w:val="12"/>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jc w:val="left"/>
        <w:textAlignment w:val="auto"/>
        <w:rPr>
          <w:rFonts w:hint="eastAsia" w:ascii="宋体" w:hAnsi="宋体" w:eastAsia="宋体" w:cs="宋体"/>
          <w:spacing w:val="0"/>
          <w:kern w:val="2"/>
          <w:sz w:val="24"/>
          <w:szCs w:val="24"/>
          <w:lang w:val="en-US" w:eastAsia="zh-CN" w:bidi="ar-SA"/>
        </w:rPr>
      </w:pPr>
      <w:r>
        <w:rPr>
          <w:rFonts w:hint="eastAsia" w:ascii="宋体" w:hAnsi="宋体" w:eastAsia="宋体" w:cs="宋体"/>
          <w:spacing w:val="0"/>
          <w:kern w:val="2"/>
          <w:sz w:val="24"/>
          <w:szCs w:val="24"/>
          <w:lang w:val="en-US" w:eastAsia="zh-CN" w:bidi="ar-SA"/>
        </w:rPr>
        <w:t>（2）货物安装调试合格后，制造商（或供应商）负责对用户技术人员进行免费现场培训，培训内容包括系统的功能、原理、使用与维护等，培训日程视实际情况另定。</w:t>
      </w:r>
    </w:p>
    <w:p>
      <w:pPr>
        <w:pStyle w:val="12"/>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jc w:val="left"/>
        <w:textAlignment w:val="auto"/>
        <w:rPr>
          <w:rFonts w:hint="eastAsia" w:ascii="宋体" w:hAnsi="宋体" w:eastAsia="宋体" w:cs="宋体"/>
          <w:spacing w:val="0"/>
          <w:kern w:val="2"/>
          <w:sz w:val="24"/>
          <w:szCs w:val="24"/>
          <w:lang w:val="en-US" w:eastAsia="zh-CN" w:bidi="ar-SA"/>
        </w:rPr>
      </w:pPr>
      <w:r>
        <w:rPr>
          <w:rFonts w:hint="eastAsia" w:ascii="宋体" w:hAnsi="宋体" w:eastAsia="宋体" w:cs="宋体"/>
          <w:spacing w:val="0"/>
          <w:kern w:val="2"/>
          <w:sz w:val="24"/>
          <w:szCs w:val="24"/>
          <w:lang w:val="en-US" w:eastAsia="zh-CN" w:bidi="ar-SA"/>
        </w:rPr>
        <w:t>（3）质保期：供应商所供货物（设备、货物或服务）质保期自最终验收合格之日起开始计算，供应商需保证免费质保期至少为（12）个月。供应商在接到用户设备故障电话通知起，由于故障而无法工作超过3天，质保期自动延长相应天数（延长天数从故障电话通知之日开始计算）。</w:t>
      </w:r>
    </w:p>
    <w:p>
      <w:pPr>
        <w:pStyle w:val="12"/>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jc w:val="left"/>
        <w:textAlignment w:val="auto"/>
        <w:rPr>
          <w:rFonts w:hint="eastAsia" w:ascii="宋体" w:hAnsi="宋体" w:eastAsia="宋体" w:cs="宋体"/>
          <w:spacing w:val="0"/>
          <w:kern w:val="2"/>
          <w:sz w:val="24"/>
          <w:szCs w:val="24"/>
          <w:lang w:val="en-US" w:eastAsia="zh-CN" w:bidi="ar-SA"/>
        </w:rPr>
      </w:pPr>
      <w:r>
        <w:rPr>
          <w:rFonts w:hint="eastAsia" w:ascii="宋体" w:hAnsi="宋体" w:eastAsia="宋体" w:cs="宋体"/>
          <w:spacing w:val="0"/>
          <w:kern w:val="2"/>
          <w:sz w:val="24"/>
          <w:szCs w:val="24"/>
          <w:lang w:val="en-US" w:eastAsia="zh-CN" w:bidi="ar-SA"/>
        </w:rPr>
        <w:t>（4）质保期内货物一旦出现故障，供应商响应时间不超过4小时，检修人员在2个工作日内到设备安装地点及时排除故障，技术人员在12小时内完成系统恢复正常使用；如果无法恢复的，供应商应负责联系厂家技术人员到现场排除故障，厂方人员接到报修后，响应时间不超过24小时；技术人员在72小时内不能排除故障时，供应商应提供与该系统规格、技术指标相一致的备品，并在到现场完成系统更换及指导工作，以保证实验教学正常运行。</w:t>
      </w:r>
    </w:p>
    <w:p>
      <w:pPr>
        <w:pStyle w:val="12"/>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jc w:val="left"/>
        <w:textAlignment w:val="auto"/>
        <w:rPr>
          <w:rFonts w:hint="eastAsia"/>
        </w:rPr>
      </w:pPr>
      <w:r>
        <w:rPr>
          <w:rFonts w:hint="eastAsia" w:ascii="宋体" w:hAnsi="宋体" w:eastAsia="宋体" w:cs="宋体"/>
          <w:spacing w:val="0"/>
          <w:kern w:val="2"/>
          <w:sz w:val="24"/>
          <w:szCs w:val="24"/>
          <w:lang w:val="en-US" w:eastAsia="zh-CN" w:bidi="ar-SA"/>
        </w:rPr>
        <w:t>（5）质量期结束后，供应商需提供终身提供应用咨询及技术帮助，及终身软件升级、维护；系统一旦出现故障，供应商需协助采购人对系统进行维修，远程不能解决的，供应商需派出技术人员</w:t>
      </w:r>
      <w:r>
        <w:rPr>
          <w:rFonts w:hint="eastAsia" w:ascii="宋体" w:hAnsi="宋体" w:eastAsia="宋体" w:cs="宋体"/>
          <w:sz w:val="24"/>
          <w:szCs w:val="24"/>
        </w:rPr>
        <w:t>2个工作日内到现场进行维修，只收取人员差旅费。</w:t>
      </w:r>
    </w:p>
    <w:p>
      <w:pPr>
        <w:pageBreakBefore w:val="0"/>
        <w:numPr>
          <w:ilvl w:val="0"/>
          <w:numId w:val="2"/>
        </w:numPr>
        <w:kinsoku/>
        <w:wordWrap/>
        <w:overflowPunct/>
        <w:topLinePunct w:val="0"/>
        <w:autoSpaceDE/>
        <w:autoSpaceDN/>
        <w:bidi w:val="0"/>
        <w:spacing w:line="240" w:lineRule="auto"/>
        <w:ind w:left="425" w:leftChars="0" w:hanging="425" w:firstLineChars="0"/>
        <w:textAlignment w:val="auto"/>
        <w:rPr>
          <w:rFonts w:hint="eastAsia"/>
          <w:color w:val="auto"/>
        </w:rPr>
      </w:pPr>
      <w:r>
        <w:rPr>
          <w:rFonts w:hint="eastAsia"/>
          <w:b/>
          <w:color w:val="auto"/>
        </w:rPr>
        <w:t>付款方式：</w:t>
      </w:r>
    </w:p>
    <w:tbl>
      <w:tblPr>
        <w:tblStyle w:val="14"/>
        <w:tblW w:w="5000" w:type="pct"/>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111"/>
        <w:gridCol w:w="1436"/>
        <w:gridCol w:w="5789"/>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Header/>
          <w:tblCellSpacing w:w="0" w:type="dxa"/>
        </w:trPr>
        <w:tc>
          <w:tcPr>
            <w:tcW w:w="666" w:type="pct"/>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auto"/>
            </w:pPr>
            <w:r>
              <w:rPr>
                <w:rFonts w:ascii="宋体" w:hAnsi="宋体" w:eastAsia="宋体" w:cs="宋体"/>
                <w:kern w:val="0"/>
                <w:sz w:val="24"/>
                <w:szCs w:val="24"/>
                <w:lang w:val="en-US" w:eastAsia="zh-CN" w:bidi="ar"/>
              </w:rPr>
              <w:t>支付期次</w:t>
            </w:r>
          </w:p>
        </w:tc>
        <w:tc>
          <w:tcPr>
            <w:tcW w:w="861" w:type="pct"/>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auto"/>
            </w:pPr>
            <w:r>
              <w:rPr>
                <w:rFonts w:ascii="宋体" w:hAnsi="宋体" w:eastAsia="宋体" w:cs="宋体"/>
                <w:kern w:val="0"/>
                <w:sz w:val="24"/>
                <w:szCs w:val="24"/>
                <w:lang w:val="en-US" w:eastAsia="zh-CN" w:bidi="ar"/>
              </w:rPr>
              <w:t>支付比例(%)</w:t>
            </w:r>
          </w:p>
        </w:tc>
        <w:tc>
          <w:tcPr>
            <w:tcW w:w="3471" w:type="pct"/>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auto"/>
            </w:pPr>
            <w:r>
              <w:rPr>
                <w:rFonts w:ascii="宋体" w:hAnsi="宋体" w:eastAsia="宋体" w:cs="宋体"/>
                <w:kern w:val="0"/>
                <w:sz w:val="24"/>
                <w:szCs w:val="24"/>
                <w:lang w:val="en-US" w:eastAsia="zh-CN" w:bidi="ar"/>
              </w:rPr>
              <w:t>支付期次说明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666" w:type="pct"/>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auto"/>
            </w:pPr>
            <w:r>
              <w:rPr>
                <w:rFonts w:ascii="宋体" w:hAnsi="宋体" w:eastAsia="宋体" w:cs="宋体"/>
                <w:kern w:val="0"/>
                <w:sz w:val="24"/>
                <w:szCs w:val="24"/>
                <w:lang w:val="en-US" w:eastAsia="zh-CN" w:bidi="ar"/>
              </w:rPr>
              <w:t>1</w:t>
            </w:r>
          </w:p>
        </w:tc>
        <w:tc>
          <w:tcPr>
            <w:tcW w:w="861" w:type="pct"/>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auto"/>
              <w:rPr>
                <w:rFonts w:hint="default"/>
                <w:lang w:val="en-US"/>
              </w:rPr>
            </w:pPr>
            <w:r>
              <w:rPr>
                <w:rFonts w:hint="eastAsia" w:ascii="宋体" w:hAnsi="宋体" w:cs="宋体"/>
                <w:kern w:val="0"/>
                <w:sz w:val="24"/>
                <w:szCs w:val="24"/>
                <w:lang w:val="en-US" w:eastAsia="zh-CN" w:bidi="ar"/>
              </w:rPr>
              <w:t>95%</w:t>
            </w:r>
          </w:p>
        </w:tc>
        <w:tc>
          <w:tcPr>
            <w:tcW w:w="5789" w:type="dxa"/>
            <w:tcBorders>
              <w:top w:val="outset" w:color="auto" w:sz="6" w:space="0"/>
              <w:left w:val="outset" w:color="auto" w:sz="6" w:space="0"/>
              <w:bottom w:val="outset" w:color="auto" w:sz="6" w:space="0"/>
              <w:right w:val="outset" w:color="auto" w:sz="6" w:space="0"/>
            </w:tcBorders>
            <w:noWrap w:val="0"/>
            <w:vAlign w:val="center"/>
          </w:tcPr>
          <w:p>
            <w:pPr>
              <w:spacing w:line="276" w:lineRule="auto"/>
              <w:jc w:val="center"/>
            </w:pPr>
            <w:r>
              <w:rPr>
                <w:rFonts w:hint="eastAsia" w:ascii="宋体" w:hAnsi="宋体"/>
                <w:sz w:val="21"/>
                <w:szCs w:val="21"/>
                <w:highlight w:val="none"/>
              </w:rPr>
              <w:t>货物安装验收完毕后，</w:t>
            </w:r>
            <w:r>
              <w:rPr>
                <w:rFonts w:hint="eastAsia" w:ascii="宋体" w:hAnsi="宋体"/>
                <w:sz w:val="21"/>
                <w:szCs w:val="21"/>
                <w:highlight w:val="none"/>
                <w:lang w:eastAsia="zh-CN"/>
              </w:rPr>
              <w:t>乙方</w:t>
            </w:r>
            <w:r>
              <w:rPr>
                <w:rFonts w:hint="eastAsia" w:ascii="宋体" w:hAnsi="宋体"/>
                <w:sz w:val="21"/>
                <w:szCs w:val="21"/>
                <w:highlight w:val="none"/>
              </w:rPr>
              <w:t>应向招标人提供中标总价的发票，招标人收到发票后</w:t>
            </w:r>
            <w:r>
              <w:rPr>
                <w:rFonts w:hint="eastAsia" w:ascii="宋体" w:hAnsi="宋体"/>
                <w:sz w:val="21"/>
                <w:szCs w:val="21"/>
                <w:highlight w:val="none"/>
                <w:lang w:val="en-US" w:eastAsia="zh-CN"/>
              </w:rPr>
              <w:t>30</w:t>
            </w:r>
            <w:r>
              <w:rPr>
                <w:rFonts w:hint="eastAsia" w:ascii="宋体" w:hAnsi="宋体"/>
                <w:sz w:val="21"/>
                <w:szCs w:val="21"/>
                <w:highlight w:val="none"/>
              </w:rPr>
              <w:t>天内向</w:t>
            </w:r>
            <w:r>
              <w:rPr>
                <w:rFonts w:hint="eastAsia" w:ascii="宋体" w:hAnsi="宋体"/>
                <w:sz w:val="21"/>
                <w:szCs w:val="21"/>
                <w:highlight w:val="none"/>
                <w:lang w:eastAsia="zh-CN"/>
              </w:rPr>
              <w:t>乙方</w:t>
            </w:r>
            <w:r>
              <w:rPr>
                <w:rFonts w:hint="eastAsia" w:ascii="宋体" w:hAnsi="宋体"/>
                <w:sz w:val="21"/>
                <w:szCs w:val="21"/>
                <w:highlight w:val="none"/>
              </w:rPr>
              <w:t>支付合同总价款的95%。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666" w:type="pct"/>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auto"/>
              <w:rPr>
                <w:rFonts w:hint="default" w:ascii="宋体" w:hAnsi="宋体" w:eastAsia="宋体" w:cs="宋体"/>
                <w:kern w:val="0"/>
                <w:sz w:val="24"/>
                <w:szCs w:val="24"/>
                <w:lang w:val="en-US" w:eastAsia="zh-CN" w:bidi="ar"/>
              </w:rPr>
            </w:pPr>
            <w:r>
              <w:rPr>
                <w:rFonts w:hint="eastAsia" w:ascii="宋体" w:hAnsi="宋体" w:cs="宋体"/>
                <w:kern w:val="0"/>
                <w:sz w:val="24"/>
                <w:szCs w:val="24"/>
                <w:lang w:val="en-US" w:eastAsia="zh-CN" w:bidi="ar"/>
              </w:rPr>
              <w:t>2</w:t>
            </w:r>
          </w:p>
        </w:tc>
        <w:tc>
          <w:tcPr>
            <w:tcW w:w="861" w:type="pct"/>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auto"/>
              <w:rPr>
                <w:rFonts w:hint="default" w:ascii="宋体" w:hAnsi="宋体" w:cs="宋体"/>
                <w:kern w:val="0"/>
                <w:sz w:val="24"/>
                <w:szCs w:val="24"/>
                <w:lang w:val="en-US" w:eastAsia="zh-CN" w:bidi="ar"/>
              </w:rPr>
            </w:pPr>
            <w:r>
              <w:rPr>
                <w:rFonts w:hint="eastAsia" w:ascii="宋体" w:hAnsi="宋体" w:cs="宋体"/>
                <w:kern w:val="0"/>
                <w:sz w:val="24"/>
                <w:szCs w:val="24"/>
                <w:lang w:val="en-US" w:eastAsia="zh-CN" w:bidi="ar"/>
              </w:rPr>
              <w:t>5%</w:t>
            </w:r>
          </w:p>
        </w:tc>
        <w:tc>
          <w:tcPr>
            <w:tcW w:w="5789" w:type="dxa"/>
            <w:tcBorders>
              <w:top w:val="outset" w:color="auto" w:sz="6" w:space="0"/>
              <w:left w:val="outset" w:color="auto" w:sz="6" w:space="0"/>
              <w:bottom w:val="outset" w:color="auto" w:sz="6" w:space="0"/>
              <w:right w:val="outset" w:color="auto" w:sz="6" w:space="0"/>
            </w:tcBorders>
            <w:noWrap w:val="0"/>
            <w:vAlign w:val="center"/>
          </w:tcPr>
          <w:p>
            <w:pPr>
              <w:spacing w:line="276" w:lineRule="auto"/>
              <w:jc w:val="center"/>
              <w:rPr>
                <w:rFonts w:ascii="宋体" w:hAnsi="宋体" w:eastAsia="宋体" w:cs="宋体"/>
                <w:kern w:val="0"/>
                <w:sz w:val="24"/>
                <w:szCs w:val="24"/>
                <w:lang w:val="en-US" w:eastAsia="zh-CN" w:bidi="ar"/>
              </w:rPr>
            </w:pPr>
            <w:r>
              <w:rPr>
                <w:rFonts w:hint="eastAsia" w:ascii="宋体" w:hAnsi="宋体"/>
                <w:sz w:val="21"/>
                <w:szCs w:val="21"/>
                <w:highlight w:val="none"/>
                <w:lang w:val="en-US" w:eastAsia="zh-CN"/>
              </w:rPr>
              <w:t>安装投入使用</w:t>
            </w:r>
            <w:r>
              <w:rPr>
                <w:rFonts w:hint="eastAsia" w:ascii="宋体" w:hAnsi="宋体"/>
                <w:sz w:val="21"/>
                <w:szCs w:val="21"/>
                <w:highlight w:val="none"/>
              </w:rPr>
              <w:t>满一年后一次性付清合同余额。</w:t>
            </w:r>
          </w:p>
        </w:tc>
      </w:tr>
    </w:tbl>
    <w:p>
      <w:pPr>
        <w:pageBreakBefore w:val="0"/>
        <w:numPr>
          <w:ilvl w:val="0"/>
          <w:numId w:val="2"/>
        </w:numPr>
        <w:kinsoku/>
        <w:wordWrap/>
        <w:overflowPunct/>
        <w:topLinePunct w:val="0"/>
        <w:autoSpaceDE/>
        <w:autoSpaceDN/>
        <w:bidi w:val="0"/>
        <w:spacing w:line="240" w:lineRule="auto"/>
        <w:ind w:left="425" w:leftChars="0" w:hanging="425" w:firstLineChars="0"/>
        <w:textAlignment w:val="auto"/>
        <w:rPr>
          <w:rFonts w:hint="eastAsia"/>
          <w:color w:val="auto"/>
        </w:rPr>
      </w:pPr>
      <w:r>
        <w:rPr>
          <w:rFonts w:hint="eastAsia"/>
          <w:b/>
          <w:color w:val="auto"/>
        </w:rPr>
        <w:t>其他要求</w:t>
      </w:r>
      <w:r>
        <w:rPr>
          <w:rFonts w:hint="eastAsia"/>
          <w:b/>
          <w:color w:val="auto"/>
          <w:lang w:eastAsia="zh-CN"/>
        </w:rPr>
        <w:t>：</w:t>
      </w:r>
    </w:p>
    <w:p>
      <w:pPr>
        <w:pStyle w:val="13"/>
        <w:pageBreakBefore w:val="0"/>
        <w:kinsoku/>
        <w:wordWrap/>
        <w:overflowPunct/>
        <w:topLinePunct w:val="0"/>
        <w:autoSpaceDE/>
        <w:autoSpaceDN/>
        <w:bidi w:val="0"/>
        <w:spacing w:line="240" w:lineRule="auto"/>
        <w:textAlignment w:val="auto"/>
        <w:rPr>
          <w:rFonts w:hint="eastAsia"/>
        </w:rPr>
        <w:sectPr>
          <w:headerReference r:id="rId4" w:type="first"/>
          <w:footerReference r:id="rId6" w:type="first"/>
          <w:headerReference r:id="rId3" w:type="default"/>
          <w:footerReference r:id="rId5" w:type="default"/>
          <w:pgSz w:w="11906" w:h="16838"/>
          <w:pgMar w:top="1440" w:right="1800" w:bottom="1440" w:left="1800" w:header="851" w:footer="992" w:gutter="0"/>
          <w:cols w:space="720" w:num="1"/>
          <w:titlePg/>
          <w:docGrid w:type="lines" w:linePitch="312" w:charSpace="0"/>
        </w:sectPr>
      </w:pPr>
      <w:r>
        <w:rPr>
          <w:rFonts w:hint="eastAsia" w:ascii="宋体" w:hAnsi="宋体" w:eastAsia="宋体" w:cs="宋体"/>
          <w:spacing w:val="0"/>
          <w:sz w:val="24"/>
          <w:szCs w:val="24"/>
        </w:rPr>
        <w:t>除招标文件另有规定外，若出现有关法律、法规和规章有强制性规定但招标文件未列明的情形，则投标人应按照有关法律、法规和规章强制性规定执行。</w:t>
      </w:r>
    </w:p>
    <w:p>
      <w:pPr>
        <w:pStyle w:val="3"/>
        <w:numPr>
          <w:ilvl w:val="0"/>
          <w:numId w:val="1"/>
        </w:numPr>
        <w:spacing w:before="0" w:after="0" w:line="360" w:lineRule="auto"/>
        <w:rPr>
          <w:rFonts w:hint="eastAsia" w:ascii="宋体" w:hAnsi="宋体" w:cs="Arial"/>
          <w:color w:val="auto"/>
          <w:sz w:val="32"/>
        </w:rPr>
      </w:pPr>
      <w:r>
        <w:rPr>
          <w:rFonts w:hint="eastAsia" w:ascii="宋体" w:hAnsi="宋体" w:cs="Arial"/>
          <w:color w:val="auto"/>
          <w:sz w:val="32"/>
          <w:lang w:val="en-US" w:eastAsia="zh-CN"/>
        </w:rPr>
        <w:t>技术要求</w:t>
      </w:r>
      <w:r>
        <w:rPr>
          <w:rFonts w:hint="eastAsia" w:ascii="宋体" w:hAnsi="宋体" w:cs="Arial"/>
          <w:color w:val="auto"/>
          <w:sz w:val="32"/>
        </w:rPr>
        <w:t>（以“</w:t>
      </w:r>
      <w:r>
        <w:rPr>
          <w:rFonts w:hint="eastAsia" w:ascii="微软雅黑" w:hAnsi="微软雅黑" w:eastAsia="微软雅黑" w:cs="微软雅黑"/>
          <w:color w:val="auto"/>
          <w:sz w:val="32"/>
        </w:rPr>
        <w:t>★</w:t>
      </w:r>
      <w:r>
        <w:rPr>
          <w:rFonts w:hint="eastAsia" w:ascii="宋体" w:hAnsi="宋体" w:cs="Arial"/>
          <w:color w:val="auto"/>
          <w:sz w:val="32"/>
        </w:rPr>
        <w:t>”标示的内容为不允许负偏离的实质性要求）</w:t>
      </w:r>
    </w:p>
    <w:tbl>
      <w:tblPr>
        <w:tblStyle w:val="14"/>
        <w:tblW w:w="148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8"/>
        <w:gridCol w:w="1269"/>
        <w:gridCol w:w="7845"/>
        <w:gridCol w:w="1521"/>
        <w:gridCol w:w="729"/>
        <w:gridCol w:w="840"/>
        <w:gridCol w:w="1005"/>
        <w:gridCol w:w="9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668" w:type="dxa"/>
            <w:noWrap w:val="0"/>
            <w:vAlign w:val="center"/>
          </w:tcPr>
          <w:p>
            <w:pPr>
              <w:keepNext w:val="0"/>
              <w:keepLines w:val="0"/>
              <w:pageBreakBefore w:val="0"/>
              <w:kinsoku/>
              <w:wordWrap/>
              <w:overflowPunct/>
              <w:topLinePunct w:val="0"/>
              <w:autoSpaceDE w:val="0"/>
              <w:autoSpaceDN w:val="0"/>
              <w:bidi w:val="0"/>
              <w:adjustRightInd w:val="0"/>
              <w:snapToGrid w:val="0"/>
              <w:spacing w:line="0" w:lineRule="atLeast"/>
              <w:ind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序号</w:t>
            </w:r>
          </w:p>
        </w:tc>
        <w:tc>
          <w:tcPr>
            <w:tcW w:w="1269" w:type="dxa"/>
            <w:noWrap w:val="0"/>
            <w:vAlign w:val="center"/>
          </w:tcPr>
          <w:p>
            <w:pPr>
              <w:keepNext w:val="0"/>
              <w:keepLines w:val="0"/>
              <w:pageBreakBefore w:val="0"/>
              <w:kinsoku/>
              <w:wordWrap/>
              <w:overflowPunct/>
              <w:topLinePunct w:val="0"/>
              <w:autoSpaceDE w:val="0"/>
              <w:autoSpaceDN w:val="0"/>
              <w:bidi w:val="0"/>
              <w:adjustRightInd w:val="0"/>
              <w:snapToGrid w:val="0"/>
              <w:spacing w:line="0" w:lineRule="atLeast"/>
              <w:ind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仪器名称</w:t>
            </w:r>
          </w:p>
          <w:p>
            <w:pPr>
              <w:keepNext w:val="0"/>
              <w:keepLines w:val="0"/>
              <w:pageBreakBefore w:val="0"/>
              <w:kinsoku/>
              <w:wordWrap/>
              <w:overflowPunct/>
              <w:topLinePunct w:val="0"/>
              <w:autoSpaceDE w:val="0"/>
              <w:autoSpaceDN w:val="0"/>
              <w:bidi w:val="0"/>
              <w:adjustRightInd w:val="0"/>
              <w:snapToGrid w:val="0"/>
              <w:spacing w:line="0" w:lineRule="atLeast"/>
              <w:ind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（软件）</w:t>
            </w:r>
          </w:p>
        </w:tc>
        <w:tc>
          <w:tcPr>
            <w:tcW w:w="7845" w:type="dxa"/>
            <w:noWrap w:val="0"/>
            <w:vAlign w:val="center"/>
          </w:tcPr>
          <w:p>
            <w:pPr>
              <w:keepNext w:val="0"/>
              <w:keepLines w:val="0"/>
              <w:pageBreakBefore w:val="0"/>
              <w:kinsoku/>
              <w:wordWrap/>
              <w:overflowPunct/>
              <w:topLinePunct w:val="0"/>
              <w:autoSpaceDE w:val="0"/>
              <w:autoSpaceDN w:val="0"/>
              <w:bidi w:val="0"/>
              <w:adjustRightInd w:val="0"/>
              <w:snapToGrid w:val="0"/>
              <w:spacing w:line="0" w:lineRule="atLeast"/>
              <w:ind w:firstLine="0" w:firstLineChars="0"/>
              <w:jc w:val="center"/>
              <w:textAlignment w:val="center"/>
              <w:rPr>
                <w:rFonts w:hint="default" w:ascii="Times New Roman" w:hAnsi="Times New Roman" w:eastAsia="仿宋_GB2312" w:cs="Times New Roman"/>
                <w:color w:val="auto"/>
                <w:sz w:val="21"/>
                <w:szCs w:val="21"/>
                <w:lang w:eastAsia="zh-CN"/>
              </w:rPr>
            </w:pPr>
            <w:r>
              <w:rPr>
                <w:rFonts w:hint="default" w:ascii="Times New Roman" w:hAnsi="Times New Roman" w:cs="Times New Roman"/>
                <w:color w:val="auto"/>
                <w:sz w:val="21"/>
                <w:szCs w:val="21"/>
                <w:lang w:eastAsia="zh-CN"/>
              </w:rPr>
              <w:t>技术参数及功能要求</w:t>
            </w:r>
          </w:p>
        </w:tc>
        <w:tc>
          <w:tcPr>
            <w:tcW w:w="1521" w:type="dxa"/>
            <w:noWrap w:val="0"/>
            <w:vAlign w:val="center"/>
          </w:tcPr>
          <w:p>
            <w:pPr>
              <w:keepNext w:val="0"/>
              <w:keepLines w:val="0"/>
              <w:pageBreakBefore w:val="0"/>
              <w:kinsoku/>
              <w:wordWrap/>
              <w:overflowPunct/>
              <w:topLinePunct w:val="0"/>
              <w:autoSpaceDE w:val="0"/>
              <w:autoSpaceDN w:val="0"/>
              <w:bidi w:val="0"/>
              <w:adjustRightInd w:val="0"/>
              <w:snapToGrid w:val="0"/>
              <w:spacing w:line="0" w:lineRule="atLeast"/>
              <w:ind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列举至少3家满足要求的</w:t>
            </w:r>
          </w:p>
          <w:p>
            <w:pPr>
              <w:keepNext w:val="0"/>
              <w:keepLines w:val="0"/>
              <w:pageBreakBefore w:val="0"/>
              <w:kinsoku/>
              <w:wordWrap/>
              <w:overflowPunct/>
              <w:topLinePunct w:val="0"/>
              <w:autoSpaceDE w:val="0"/>
              <w:autoSpaceDN w:val="0"/>
              <w:bidi w:val="0"/>
              <w:adjustRightInd w:val="0"/>
              <w:snapToGrid w:val="0"/>
              <w:spacing w:line="0" w:lineRule="atLeast"/>
              <w:ind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品牌厂家</w:t>
            </w:r>
          </w:p>
        </w:tc>
        <w:tc>
          <w:tcPr>
            <w:tcW w:w="729" w:type="dxa"/>
            <w:noWrap w:val="0"/>
            <w:vAlign w:val="center"/>
          </w:tcPr>
          <w:p>
            <w:pPr>
              <w:keepNext w:val="0"/>
              <w:keepLines w:val="0"/>
              <w:pageBreakBefore w:val="0"/>
              <w:kinsoku/>
              <w:wordWrap/>
              <w:overflowPunct/>
              <w:topLinePunct w:val="0"/>
              <w:autoSpaceDE w:val="0"/>
              <w:autoSpaceDN w:val="0"/>
              <w:bidi w:val="0"/>
              <w:adjustRightInd w:val="0"/>
              <w:snapToGrid w:val="0"/>
              <w:spacing w:line="0" w:lineRule="atLeast"/>
              <w:ind w:firstLine="0" w:firstLineChars="0"/>
              <w:jc w:val="center"/>
              <w:textAlignment w:val="center"/>
              <w:rPr>
                <w:rFonts w:hint="default" w:ascii="Times New Roman" w:hAnsi="Times New Roman" w:eastAsia="仿宋_GB2312" w:cs="Times New Roman"/>
                <w:color w:val="auto"/>
                <w:kern w:val="24"/>
                <w:sz w:val="21"/>
                <w:szCs w:val="21"/>
                <w:lang w:val="en-US" w:eastAsia="zh-CN" w:bidi="ar-SA"/>
              </w:rPr>
            </w:pPr>
            <w:r>
              <w:rPr>
                <w:rFonts w:hint="default" w:ascii="Times New Roman" w:hAnsi="Times New Roman" w:cs="Times New Roman"/>
                <w:color w:val="auto"/>
                <w:sz w:val="21"/>
                <w:szCs w:val="21"/>
              </w:rPr>
              <w:t>数量</w:t>
            </w:r>
          </w:p>
        </w:tc>
        <w:tc>
          <w:tcPr>
            <w:tcW w:w="840" w:type="dxa"/>
            <w:noWrap w:val="0"/>
            <w:vAlign w:val="center"/>
          </w:tcPr>
          <w:p>
            <w:pPr>
              <w:keepNext w:val="0"/>
              <w:keepLines w:val="0"/>
              <w:pageBreakBefore w:val="0"/>
              <w:kinsoku/>
              <w:wordWrap/>
              <w:overflowPunct/>
              <w:topLinePunct w:val="0"/>
              <w:autoSpaceDE w:val="0"/>
              <w:autoSpaceDN w:val="0"/>
              <w:bidi w:val="0"/>
              <w:adjustRightInd w:val="0"/>
              <w:snapToGrid w:val="0"/>
              <w:spacing w:line="0" w:lineRule="atLeast"/>
              <w:ind w:firstLine="0" w:firstLineChars="0"/>
              <w:jc w:val="center"/>
              <w:textAlignment w:val="center"/>
              <w:rPr>
                <w:rFonts w:hint="default" w:ascii="Times New Roman" w:hAnsi="Times New Roman" w:eastAsia="宋体" w:cs="Times New Roman"/>
                <w:snapToGrid w:val="0"/>
                <w:color w:val="auto"/>
                <w:spacing w:val="-20"/>
                <w:kern w:val="0"/>
                <w:sz w:val="21"/>
                <w:szCs w:val="21"/>
                <w:lang w:val="en-US" w:eastAsia="zh-CN" w:bidi="ar-SA"/>
              </w:rPr>
            </w:pPr>
            <w:r>
              <w:rPr>
                <w:rFonts w:hint="default" w:ascii="Times New Roman" w:hAnsi="Times New Roman" w:cs="Times New Roman"/>
                <w:snapToGrid w:val="0"/>
                <w:color w:val="auto"/>
                <w:spacing w:val="-20"/>
                <w:kern w:val="0"/>
                <w:sz w:val="21"/>
                <w:szCs w:val="21"/>
                <w:lang w:eastAsia="zh-CN"/>
              </w:rPr>
              <w:t>单位</w:t>
            </w:r>
          </w:p>
        </w:tc>
        <w:tc>
          <w:tcPr>
            <w:tcW w:w="1005" w:type="dxa"/>
            <w:noWrap w:val="0"/>
            <w:vAlign w:val="center"/>
          </w:tcPr>
          <w:p>
            <w:pPr>
              <w:keepNext w:val="0"/>
              <w:keepLines w:val="0"/>
              <w:pageBreakBefore w:val="0"/>
              <w:kinsoku/>
              <w:wordWrap/>
              <w:overflowPunct/>
              <w:topLinePunct w:val="0"/>
              <w:autoSpaceDE w:val="0"/>
              <w:autoSpaceDN w:val="0"/>
              <w:bidi w:val="0"/>
              <w:adjustRightInd w:val="0"/>
              <w:snapToGrid w:val="0"/>
              <w:spacing w:line="0" w:lineRule="atLeast"/>
              <w:ind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预算单价</w:t>
            </w:r>
          </w:p>
          <w:p>
            <w:pPr>
              <w:keepNext w:val="0"/>
              <w:keepLines w:val="0"/>
              <w:pageBreakBefore w:val="0"/>
              <w:kinsoku/>
              <w:wordWrap/>
              <w:overflowPunct/>
              <w:topLinePunct w:val="0"/>
              <w:autoSpaceDE w:val="0"/>
              <w:autoSpaceDN w:val="0"/>
              <w:bidi w:val="0"/>
              <w:adjustRightInd w:val="0"/>
              <w:snapToGrid w:val="0"/>
              <w:spacing w:line="0" w:lineRule="atLeast"/>
              <w:ind w:firstLine="0" w:firstLineChars="0"/>
              <w:jc w:val="center"/>
              <w:textAlignment w:val="center"/>
              <w:rPr>
                <w:rFonts w:hint="default" w:ascii="Times New Roman" w:hAnsi="Times New Roman" w:eastAsia="仿宋_GB2312" w:cs="Times New Roman"/>
                <w:snapToGrid w:val="0"/>
                <w:color w:val="auto"/>
                <w:spacing w:val="-20"/>
                <w:kern w:val="0"/>
                <w:sz w:val="21"/>
                <w:szCs w:val="21"/>
                <w:lang w:val="en-US" w:eastAsia="zh-CN" w:bidi="ar-SA"/>
              </w:rPr>
            </w:pPr>
            <w:r>
              <w:rPr>
                <w:rFonts w:hint="default" w:ascii="Times New Roman" w:hAnsi="Times New Roman" w:cs="Times New Roman"/>
                <w:snapToGrid w:val="0"/>
                <w:color w:val="auto"/>
                <w:spacing w:val="-20"/>
                <w:kern w:val="0"/>
                <w:sz w:val="21"/>
                <w:szCs w:val="21"/>
              </w:rPr>
              <w:t>（万元）</w:t>
            </w:r>
          </w:p>
        </w:tc>
        <w:tc>
          <w:tcPr>
            <w:tcW w:w="961" w:type="dxa"/>
            <w:noWrap w:val="0"/>
            <w:vAlign w:val="center"/>
          </w:tcPr>
          <w:p>
            <w:pPr>
              <w:keepNext w:val="0"/>
              <w:keepLines w:val="0"/>
              <w:pageBreakBefore w:val="0"/>
              <w:kinsoku/>
              <w:wordWrap/>
              <w:overflowPunct/>
              <w:topLinePunct w:val="0"/>
              <w:autoSpaceDE w:val="0"/>
              <w:autoSpaceDN w:val="0"/>
              <w:bidi w:val="0"/>
              <w:adjustRightInd w:val="0"/>
              <w:snapToGrid w:val="0"/>
              <w:spacing w:line="0" w:lineRule="atLeast"/>
              <w:ind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预算金额</w:t>
            </w:r>
          </w:p>
          <w:p>
            <w:pPr>
              <w:keepNext w:val="0"/>
              <w:keepLines w:val="0"/>
              <w:pageBreakBefore w:val="0"/>
              <w:kinsoku/>
              <w:wordWrap/>
              <w:overflowPunct/>
              <w:topLinePunct w:val="0"/>
              <w:autoSpaceDE w:val="0"/>
              <w:autoSpaceDN w:val="0"/>
              <w:bidi w:val="0"/>
              <w:adjustRightInd w:val="0"/>
              <w:snapToGrid w:val="0"/>
              <w:spacing w:line="0" w:lineRule="atLeast"/>
              <w:ind w:firstLine="0" w:firstLineChars="0"/>
              <w:jc w:val="center"/>
              <w:textAlignment w:val="center"/>
              <w:rPr>
                <w:rFonts w:hint="default" w:ascii="Times New Roman" w:hAnsi="Times New Roman" w:eastAsia="仿宋_GB2312" w:cs="Times New Roman"/>
                <w:color w:val="auto"/>
                <w:kern w:val="24"/>
                <w:sz w:val="21"/>
                <w:szCs w:val="21"/>
                <w:lang w:val="en-US" w:eastAsia="zh-CN" w:bidi="ar-SA"/>
              </w:rPr>
            </w:pPr>
            <w:r>
              <w:rPr>
                <w:rFonts w:hint="default" w:ascii="Times New Roman" w:hAnsi="Times New Roman" w:cs="Times New Roman"/>
                <w:snapToGrid w:val="0"/>
                <w:color w:val="auto"/>
                <w:spacing w:val="-20"/>
                <w:kern w:val="0"/>
                <w:sz w:val="21"/>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4" w:hRule="atLeast"/>
          <w:jc w:val="center"/>
        </w:trPr>
        <w:tc>
          <w:tcPr>
            <w:tcW w:w="668"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line="0" w:lineRule="atLeast"/>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1</w:t>
            </w:r>
          </w:p>
        </w:tc>
        <w:tc>
          <w:tcPr>
            <w:tcW w:w="1269" w:type="dxa"/>
            <w:noWrap w:val="0"/>
            <w:vAlign w:val="center"/>
          </w:tcPr>
          <w:p>
            <w:pPr>
              <w:pageBreakBefore w:val="0"/>
              <w:kinsoku/>
              <w:wordWrap/>
              <w:overflowPunct/>
              <w:topLinePunct w:val="0"/>
              <w:bidi w:val="0"/>
              <w:spacing w:line="0" w:lineRule="atLeast"/>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机电一体化智能实训平台</w:t>
            </w:r>
          </w:p>
        </w:tc>
        <w:tc>
          <w:tcPr>
            <w:tcW w:w="7845" w:type="dxa"/>
            <w:noWrap w:val="0"/>
            <w:vAlign w:val="center"/>
          </w:tcPr>
          <w:p>
            <w:pPr>
              <w:numPr>
                <w:ilvl w:val="0"/>
                <w:numId w:val="0"/>
              </w:numPr>
              <w:autoSpaceDE w:val="0"/>
              <w:autoSpaceDN w:val="0"/>
              <w:adjustRightInd w:val="0"/>
              <w:spacing w:line="360" w:lineRule="exact"/>
              <w:outlineLvl w:val="1"/>
              <w:rPr>
                <w:rFonts w:hint="default" w:ascii="宋体" w:hAnsi="宋体" w:cs="宋体"/>
                <w:b/>
                <w:kern w:val="0"/>
                <w:sz w:val="21"/>
                <w:szCs w:val="21"/>
                <w:lang w:val="en-US" w:eastAsia="zh-CN"/>
              </w:rPr>
            </w:pPr>
            <w:bookmarkStart w:id="0" w:name="_Toc22594"/>
            <w:bookmarkStart w:id="1" w:name="_Toc30206"/>
            <w:bookmarkStart w:id="2" w:name="_Toc26082"/>
            <w:r>
              <w:rPr>
                <w:rFonts w:hint="eastAsia" w:ascii="宋体" w:hAnsi="宋体" w:cs="宋体"/>
                <w:b/>
                <w:kern w:val="0"/>
                <w:sz w:val="21"/>
                <w:szCs w:val="21"/>
                <w:lang w:val="en-US" w:eastAsia="zh-CN"/>
              </w:rPr>
              <w:t>一、产品概述</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en-US" w:bidi="ar-SA"/>
              </w:rPr>
            </w:pPr>
            <w:r>
              <w:rPr>
                <w:rFonts w:hint="eastAsia" w:ascii="宋体" w:hAnsi="宋体" w:eastAsia="宋体" w:cs="宋体"/>
                <w:kern w:val="0"/>
                <w:sz w:val="21"/>
                <w:szCs w:val="21"/>
                <w:lang w:val="en-US" w:eastAsia="en-US" w:bidi="ar-SA"/>
              </w:rPr>
              <w:t>机电一体化智能实训平台是一种典型的机电一体化产品，涉及专业的岗位面向包括电气控制系统安装、调试、维护岗位，所针对的职业工种为维修电工、装配钳工、机械设备安装工等。设备综合运用工业机器人应用技术、PLC控制技术、机器视觉技术、射频识别技术、触摸屏应用技术、通信应用技术、交流伺服应用技术、交流变频应用技术、传感器应用技术、气动控制技术、机械装调技术及机电一体化高新技术的综合应用。该平台符合机电一体化项目赛项技术平台要求，可完成单站和整个生产线的安装、编程、调试、故障排查及生产线优化设计等完整的综合工作任务。</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en-US" w:bidi="ar-SA"/>
              </w:rPr>
            </w:pPr>
            <w:r>
              <w:rPr>
                <w:rFonts w:hint="eastAsia" w:ascii="宋体" w:hAnsi="宋体" w:eastAsia="宋体" w:cs="宋体"/>
                <w:kern w:val="0"/>
                <w:sz w:val="21"/>
                <w:szCs w:val="21"/>
                <w:lang w:val="en-US" w:eastAsia="en-US" w:bidi="ar-SA"/>
              </w:rPr>
              <w:t>该设备由颗粒上料单元、加盖拧盖单元、检测分拣单元、工业机器人搬运单元和智能仓储单元组成，包括了智能装配、自动包装、自动化立体仓储及智能物流、自动检测质量控制、生产过程数据采集及控制系统等，是一个完整的智能工厂模拟装置。应用了工业机器人技术、PLC控制技术、机器视觉技术、射频识别技术、变频控制技术、伺服控制技术、工业传感器技术、电机驱动技术等工业自动化相关技术，可实现空瓶上料、颗粒物料上料、物料分拣、颗粒填装、加盖、拧盖、物料检测、瓶盖检测、成品分拣、机器人抓取入盒、盒盖包装、贴标、入库等智能生产全过程。</w:t>
            </w:r>
          </w:p>
          <w:p>
            <w:pPr>
              <w:numPr>
                <w:ilvl w:val="0"/>
                <w:numId w:val="0"/>
              </w:numPr>
              <w:autoSpaceDE w:val="0"/>
              <w:autoSpaceDN w:val="0"/>
              <w:adjustRightInd w:val="0"/>
              <w:spacing w:line="360" w:lineRule="exact"/>
              <w:outlineLvl w:val="1"/>
              <w:rPr>
                <w:rFonts w:hint="eastAsia" w:ascii="宋体" w:hAnsi="宋体" w:cs="宋体"/>
                <w:b/>
                <w:kern w:val="0"/>
                <w:sz w:val="21"/>
                <w:szCs w:val="21"/>
                <w:lang w:val="en-US" w:eastAsia="en-US"/>
              </w:rPr>
            </w:pPr>
            <w:r>
              <w:rPr>
                <w:rFonts w:hint="eastAsia" w:ascii="宋体" w:hAnsi="宋体" w:cs="宋体"/>
                <w:b/>
                <w:kern w:val="0"/>
                <w:sz w:val="21"/>
                <w:szCs w:val="21"/>
                <w:lang w:val="en-US" w:eastAsia="en-US"/>
              </w:rPr>
              <w:t>二、技术性能</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en-US" w:bidi="ar-SA"/>
              </w:rPr>
            </w:pPr>
            <w:r>
              <w:rPr>
                <w:rFonts w:hint="eastAsia" w:ascii="宋体" w:hAnsi="宋体" w:eastAsia="宋体" w:cs="宋体"/>
                <w:kern w:val="0"/>
                <w:sz w:val="21"/>
                <w:szCs w:val="21"/>
                <w:lang w:val="en-US" w:eastAsia="en-US" w:bidi="ar-SA"/>
              </w:rPr>
              <w:t>1.交流电源：单相三线～220V±10%50Hz</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en-US" w:bidi="ar-SA"/>
              </w:rPr>
            </w:pPr>
            <w:r>
              <w:rPr>
                <w:rFonts w:hint="eastAsia" w:ascii="宋体" w:hAnsi="宋体" w:eastAsia="宋体" w:cs="宋体"/>
                <w:kern w:val="0"/>
                <w:sz w:val="21"/>
                <w:szCs w:val="21"/>
                <w:lang w:val="en-US" w:eastAsia="en-US" w:bidi="ar-SA"/>
              </w:rPr>
              <w:t>2.工作环境：温度-10～50℃环境湿度≤90%无水珠凝结</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en-US" w:bidi="ar-SA"/>
              </w:rPr>
            </w:pPr>
            <w:r>
              <w:rPr>
                <w:rFonts w:hint="eastAsia" w:ascii="宋体" w:hAnsi="宋体" w:eastAsia="宋体" w:cs="宋体"/>
                <w:kern w:val="0"/>
                <w:sz w:val="21"/>
                <w:szCs w:val="21"/>
                <w:lang w:val="en-US" w:eastAsia="en-US" w:bidi="ar-SA"/>
              </w:rPr>
              <w:t>3.整体外形尺寸约：5200mm×1040mm×1600mm（长×宽×高）</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en-US" w:bidi="ar-SA"/>
              </w:rPr>
            </w:pPr>
            <w:r>
              <w:rPr>
                <w:rFonts w:hint="eastAsia" w:ascii="宋体" w:hAnsi="宋体" w:eastAsia="宋体" w:cs="宋体"/>
                <w:kern w:val="0"/>
                <w:sz w:val="21"/>
                <w:szCs w:val="21"/>
                <w:lang w:val="en-US" w:eastAsia="en-US" w:bidi="ar-SA"/>
              </w:rPr>
              <w:t>4.装置容量：≤3.0kVA</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en-US" w:bidi="ar-SA"/>
              </w:rPr>
            </w:pPr>
            <w:r>
              <w:rPr>
                <w:rFonts w:hint="eastAsia" w:ascii="宋体" w:hAnsi="宋体" w:eastAsia="宋体" w:cs="宋体"/>
                <w:kern w:val="0"/>
                <w:sz w:val="21"/>
                <w:szCs w:val="21"/>
                <w:lang w:val="en-US" w:eastAsia="en-US" w:bidi="ar-SA"/>
              </w:rPr>
              <w:t>5.安全保护功能：急停按钮，漏电保护，过流保护。</w:t>
            </w:r>
          </w:p>
          <w:p>
            <w:pPr>
              <w:numPr>
                <w:ilvl w:val="0"/>
                <w:numId w:val="0"/>
              </w:numPr>
              <w:autoSpaceDE w:val="0"/>
              <w:autoSpaceDN w:val="0"/>
              <w:adjustRightInd w:val="0"/>
              <w:spacing w:line="360" w:lineRule="exact"/>
              <w:outlineLvl w:val="1"/>
              <w:rPr>
                <w:rFonts w:hint="eastAsia" w:ascii="宋体" w:hAnsi="宋体" w:cs="宋体"/>
                <w:b/>
                <w:kern w:val="0"/>
                <w:sz w:val="21"/>
                <w:szCs w:val="21"/>
                <w:lang w:val="en-US" w:eastAsia="en-US"/>
              </w:rPr>
            </w:pPr>
            <w:r>
              <w:rPr>
                <w:rFonts w:hint="eastAsia" w:ascii="宋体" w:hAnsi="宋体" w:cs="宋体"/>
                <w:b/>
                <w:kern w:val="0"/>
                <w:sz w:val="21"/>
                <w:szCs w:val="21"/>
                <w:lang w:val="en-US" w:eastAsia="en-US"/>
              </w:rPr>
              <w:t>三、控制系统组成</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en-US" w:bidi="ar-SA"/>
              </w:rPr>
            </w:pPr>
            <w:r>
              <w:rPr>
                <w:rFonts w:hint="eastAsia" w:ascii="宋体" w:hAnsi="宋体" w:eastAsia="宋体" w:cs="宋体"/>
                <w:kern w:val="0"/>
                <w:sz w:val="21"/>
                <w:szCs w:val="21"/>
                <w:lang w:val="en-US" w:eastAsia="en-US" w:bidi="ar-SA"/>
              </w:rPr>
              <w:t>电源系统：供电模式采用供电箱集中供电，具有漏电和短路保护功能外部供电电源为单相三线 220V。总电源开关选用单相漏电开关。系统配置 5 台DC24V5A 开关稳压电源分别用作供料、加工、装配和分拣单元，及输送单元的直流电源。供电箱装有 2 只单相插座，可以给外部设备提供交流电源，同时供电箱内交流电源设有多级熔断芯，各开关电源输出的直流电源均先经过独立的保险丝，再连接至各单元接线盒，为系统正常运行提供安全保护。</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en-US" w:bidi="ar-SA"/>
              </w:rPr>
            </w:pPr>
            <w:r>
              <w:rPr>
                <w:rFonts w:hint="eastAsia" w:ascii="宋体" w:hAnsi="宋体" w:eastAsia="宋体" w:cs="宋体"/>
                <w:kern w:val="0"/>
                <w:sz w:val="21"/>
                <w:szCs w:val="21"/>
                <w:lang w:val="en-US" w:eastAsia="en-US" w:bidi="ar-SA"/>
              </w:rPr>
              <w:t>变频器：采用三菱系统 D720S 系列高性能变频器，单相交流 220V 电源供电，输出功率 0.4KW。具有八段速控制制动功能、再试功能以及根据外部 SW 调整频率增件和记忆功能。具备电流控制保护、跳闸（停止）保护、防止过电流失控保护、防止过电压失控保护。</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en-US" w:bidi="ar-SA"/>
              </w:rPr>
            </w:pPr>
            <w:r>
              <w:rPr>
                <w:rFonts w:hint="eastAsia" w:ascii="宋体" w:hAnsi="宋体" w:eastAsia="宋体" w:cs="宋体"/>
                <w:kern w:val="0"/>
                <w:sz w:val="21"/>
                <w:szCs w:val="21"/>
                <w:lang w:val="en-US" w:eastAsia="en-US" w:bidi="ar-SA"/>
              </w:rPr>
              <w:t>PLC 系统：采用三菱或汇川 PLC 主机，内置数字量 I/O，具有 2 轴脉冲输出功能。每个 PLC 的输入端均设有输入开关，PLC 的输入/输出接口均已连接到面板上，方便用户使用。</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en-US" w:bidi="ar-SA"/>
              </w:rPr>
            </w:pPr>
            <w:r>
              <w:rPr>
                <w:rFonts w:hint="eastAsia" w:ascii="宋体" w:hAnsi="宋体" w:eastAsia="宋体" w:cs="宋体"/>
                <w:kern w:val="0"/>
                <w:sz w:val="21"/>
                <w:szCs w:val="21"/>
                <w:lang w:val="en-US" w:eastAsia="en-US" w:bidi="ar-SA"/>
              </w:rPr>
              <w:t>伺服系统：驱动器 MR-JE-10A/电机 HF-KN-13J-S100。</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en-US" w:bidi="ar-SA"/>
              </w:rPr>
            </w:pPr>
            <w:r>
              <w:rPr>
                <w:rFonts w:hint="eastAsia" w:ascii="宋体" w:hAnsi="宋体" w:eastAsia="宋体" w:cs="宋体"/>
                <w:kern w:val="0"/>
                <w:sz w:val="21"/>
                <w:szCs w:val="21"/>
                <w:lang w:val="en-US" w:eastAsia="en-US" w:bidi="ar-SA"/>
              </w:rPr>
              <w:t>机器人系统：由机器人本体、机器人控制器、示教单元、输入输出信号转换器和抓取机构组成，装备多种夹具、吸盘、量具、工具等，可对工件进行抓取、吸取、搬运、装配、打磨、测量、拆解等操作。</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en-US" w:bidi="ar-SA"/>
              </w:rPr>
            </w:pPr>
            <w:r>
              <w:rPr>
                <w:rFonts w:hint="eastAsia" w:ascii="宋体" w:hAnsi="宋体" w:eastAsia="宋体" w:cs="宋体"/>
                <w:kern w:val="0"/>
                <w:sz w:val="21"/>
                <w:szCs w:val="21"/>
                <w:lang w:val="en-US" w:eastAsia="en-US" w:bidi="ar-SA"/>
              </w:rPr>
              <w:t>触摸屏：7.2 寸宽屏触摸屏。</w:t>
            </w:r>
          </w:p>
          <w:p>
            <w:pPr>
              <w:numPr>
                <w:ilvl w:val="0"/>
                <w:numId w:val="0"/>
              </w:numPr>
              <w:autoSpaceDE w:val="0"/>
              <w:autoSpaceDN w:val="0"/>
              <w:adjustRightInd w:val="0"/>
              <w:spacing w:line="360" w:lineRule="exact"/>
              <w:outlineLvl w:val="1"/>
              <w:rPr>
                <w:rFonts w:hint="eastAsia" w:ascii="宋体" w:hAnsi="宋体" w:cs="宋体"/>
                <w:b/>
                <w:kern w:val="0"/>
                <w:sz w:val="21"/>
                <w:szCs w:val="21"/>
                <w:lang w:val="en-US" w:eastAsia="en-US"/>
              </w:rPr>
            </w:pPr>
            <w:r>
              <w:rPr>
                <w:rFonts w:hint="eastAsia" w:ascii="宋体" w:hAnsi="宋体" w:cs="宋体"/>
                <w:b/>
                <w:kern w:val="0"/>
                <w:sz w:val="21"/>
                <w:szCs w:val="21"/>
                <w:lang w:val="en-US" w:eastAsia="en-US"/>
              </w:rPr>
              <w:t>四、产品结构及功能组成</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en-US" w:bidi="ar-SA"/>
              </w:rPr>
            </w:pPr>
            <w:r>
              <w:rPr>
                <w:rFonts w:hint="eastAsia" w:ascii="宋体" w:hAnsi="宋体" w:eastAsia="宋体" w:cs="宋体"/>
                <w:kern w:val="0"/>
                <w:sz w:val="21"/>
                <w:szCs w:val="21"/>
                <w:lang w:val="en-US" w:eastAsia="en-US" w:bidi="ar-SA"/>
              </w:rPr>
              <w:t>产品主要由颗粒上料单元、加盖拧盖单元、检测分拣单元、工业机器人搬运单元、智能仓储单元、装配工作台、电脑桌组成。各单元都具有独立的PLC控制、有独立的按钮输入与指示灯输出，各单元既可以独立运行、又可以通过通信进行联机控制。</w:t>
            </w:r>
          </w:p>
          <w:p>
            <w:pPr>
              <w:spacing w:before="117" w:after="0" w:line="231" w:lineRule="exact"/>
              <w:ind w:left="862" w:right="0" w:firstLine="0"/>
              <w:jc w:val="left"/>
              <w:rPr>
                <w:rFonts w:hAnsi="Calibri"/>
                <w:color w:val="000000"/>
                <w:sz w:val="22"/>
                <w:szCs w:val="22"/>
                <w:lang w:val="en-US" w:eastAsia="en-US" w:bidi="ar-SA"/>
              </w:rPr>
            </w:pPr>
            <w:r>
              <w:rPr>
                <w:rFonts w:ascii="宋体" w:hAnsi="宋体" w:cs="宋体" w:eastAsiaTheme="minorEastAsia"/>
                <w:color w:val="000000"/>
                <w:spacing w:val="1"/>
                <w:sz w:val="22"/>
                <w:szCs w:val="22"/>
                <w:lang w:val="en-US" w:eastAsia="en-US" w:bidi="ar-SA"/>
              </w:rPr>
              <w:t>技术参数</w:t>
            </w:r>
          </w:p>
          <w:tbl>
            <w:tblPr>
              <w:tblStyle w:val="14"/>
              <w:tblW w:w="9552" w:type="dxa"/>
              <w:tblInd w:w="-1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95"/>
              <w:gridCol w:w="939"/>
              <w:gridCol w:w="559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3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系统电源</w:t>
                  </w:r>
                </w:p>
              </w:tc>
              <w:tc>
                <w:tcPr>
                  <w:tcW w:w="7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单相三线制AC220V</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3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设备重量</w:t>
                  </w:r>
                </w:p>
              </w:tc>
              <w:tc>
                <w:tcPr>
                  <w:tcW w:w="7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300kg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3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额定电压</w:t>
                  </w:r>
                </w:p>
              </w:tc>
              <w:tc>
                <w:tcPr>
                  <w:tcW w:w="7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AC220V±5%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3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额定功率</w:t>
                  </w:r>
                </w:p>
              </w:tc>
              <w:tc>
                <w:tcPr>
                  <w:tcW w:w="7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1.9kw</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3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环境湿度</w:t>
                  </w:r>
                </w:p>
              </w:tc>
              <w:tc>
                <w:tcPr>
                  <w:tcW w:w="7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3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设备尺寸</w:t>
                  </w:r>
                </w:p>
              </w:tc>
              <w:tc>
                <w:tcPr>
                  <w:tcW w:w="7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520cm×104cm×160cm(长×宽×高)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3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工作站尺寸</w:t>
                  </w:r>
                </w:p>
              </w:tc>
              <w:tc>
                <w:tcPr>
                  <w:tcW w:w="7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580cm×300cm×150cm(长×宽×高)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3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安全保护功能</w:t>
                  </w:r>
                </w:p>
              </w:tc>
              <w:tc>
                <w:tcPr>
                  <w:tcW w:w="7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急停按钮，漏电保护，过流保护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37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PLC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（二选一）</w:t>
                  </w:r>
                </w:p>
              </w:tc>
              <w:tc>
                <w:tcPr>
                  <w:tcW w:w="7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型号：FX5U-32MR/FX5U-32MT/FX5U-64MT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3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或者：H3U-1616MR/H3U-3232MR/H3U-3232MT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3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触摸屏</w:t>
                  </w:r>
                </w:p>
              </w:tc>
              <w:tc>
                <w:tcPr>
                  <w:tcW w:w="7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型号：TPC7062Ti（7寸彩屏）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2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伺服系统</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驱动器</w:t>
                  </w:r>
                </w:p>
              </w:tc>
              <w:tc>
                <w:tcPr>
                  <w:tcW w:w="7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MR-JE-10A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电机</w:t>
                  </w:r>
                </w:p>
              </w:tc>
              <w:tc>
                <w:tcPr>
                  <w:tcW w:w="7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HG-KN13J-S100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3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变频器</w:t>
                  </w:r>
                </w:p>
              </w:tc>
              <w:tc>
                <w:tcPr>
                  <w:tcW w:w="7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FR-D720S-0.4K-CHT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22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步进系统</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驱动器</w:t>
                  </w:r>
                </w:p>
              </w:tc>
              <w:tc>
                <w:tcPr>
                  <w:tcW w:w="7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YKD2305M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电机</w:t>
                  </w:r>
                </w:p>
              </w:tc>
              <w:tc>
                <w:tcPr>
                  <w:tcW w:w="7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YK42XQ47-02A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237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工业机器人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（三选一）</w:t>
                  </w:r>
                </w:p>
              </w:tc>
              <w:tc>
                <w:tcPr>
                  <w:tcW w:w="7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6轴机器人，型号：RV-2FR，2kg，500mm,控制器CR800-D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r>
                    <w:rPr>
                      <w:rStyle w:val="20"/>
                      <w:lang w:val="en-US" w:eastAsia="zh-CN" w:bidi="ar"/>
                    </w:rPr>
                    <w:t>轴机器人，型号：IRB120,3kg，580mm,控制器IRC5</w:t>
                  </w:r>
                  <w:r>
                    <w:rPr>
                      <w:rStyle w:val="21"/>
                      <w:lang w:val="en-US" w:eastAsia="zh-CN" w:bidi="ar"/>
                    </w:rPr>
                    <w:t>Compact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3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r>
                    <w:rPr>
                      <w:rStyle w:val="20"/>
                      <w:lang w:val="en-US" w:eastAsia="zh-CN" w:bidi="ar"/>
                    </w:rPr>
                    <w:t>轴机器人，型号：IRB300-3-60TS5，3kg，638mm，控制器IRCB300-B-FF</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37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平台软件要求</w:t>
                  </w:r>
                </w:p>
              </w:tc>
              <w:tc>
                <w:tcPr>
                  <w:tcW w:w="7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计算机操作系统：Win7或Win10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3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7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PLC编程软件:GXWorks3（1.070Y）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3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7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AutoShopV2.93.01-中文版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3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7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机器人编程软件</w:t>
                  </w:r>
                  <w:r>
                    <w:rPr>
                      <w:rStyle w:val="20"/>
                      <w:lang w:val="en-US" w:eastAsia="zh-CN" w:bidi="ar"/>
                    </w:rPr>
                    <w:t>:RTtoolbox3Pro（版本：1.61P）</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3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7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1760" w:firstLineChars="80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RobotStudio6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3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7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1760" w:firstLineChars="80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InoTeachPadS01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3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7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触摸屏编程软件：</w:t>
                  </w:r>
                  <w:r>
                    <w:rPr>
                      <w:rStyle w:val="20"/>
                      <w:lang w:val="en-US" w:eastAsia="zh-CN" w:bidi="ar"/>
                    </w:rPr>
                    <w:t>MCGS_嵌入版</w:t>
                  </w:r>
                  <w:r>
                    <w:rPr>
                      <w:rStyle w:val="22"/>
                      <w:rFonts w:eastAsia="宋体"/>
                      <w:lang w:val="en-US" w:eastAsia="zh-CN" w:bidi="ar"/>
                    </w:rPr>
                    <w:t xml:space="preserve"> </w:t>
                  </w:r>
                  <w:r>
                    <w:rPr>
                      <w:rStyle w:val="20"/>
                      <w:lang w:val="en-US" w:eastAsia="zh-CN" w:bidi="ar"/>
                    </w:rPr>
                    <w:t>7.2及以上版本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3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7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办公软件：</w:t>
                  </w:r>
                  <w:r>
                    <w:rPr>
                      <w:rStyle w:val="20"/>
                      <w:lang w:val="en-US" w:eastAsia="zh-CN" w:bidi="ar"/>
                    </w:rPr>
                    <w:t>WPSoffice2016阅读器：PDF阅读器</w:t>
                  </w:r>
                </w:p>
              </w:tc>
            </w:tr>
          </w:tbl>
          <w:p>
            <w:pPr>
              <w:numPr>
                <w:ilvl w:val="0"/>
                <w:numId w:val="0"/>
              </w:numPr>
              <w:autoSpaceDE w:val="0"/>
              <w:autoSpaceDN w:val="0"/>
              <w:adjustRightInd w:val="0"/>
              <w:spacing w:line="360" w:lineRule="exact"/>
              <w:ind w:firstLine="422" w:firstLineChars="200"/>
              <w:outlineLvl w:val="1"/>
              <w:rPr>
                <w:rFonts w:hint="eastAsia" w:ascii="宋体" w:hAnsi="宋体" w:cs="宋体"/>
                <w:b/>
                <w:kern w:val="0"/>
                <w:sz w:val="21"/>
                <w:szCs w:val="21"/>
                <w:lang w:val="en-US" w:eastAsia="en-US"/>
              </w:rPr>
            </w:pPr>
            <w:r>
              <w:rPr>
                <w:rFonts w:hint="eastAsia" w:ascii="宋体" w:hAnsi="宋体" w:cs="宋体"/>
                <w:b/>
                <w:kern w:val="0"/>
                <w:sz w:val="21"/>
                <w:szCs w:val="21"/>
                <w:lang w:val="en-US" w:eastAsia="zh-CN"/>
              </w:rPr>
              <w:t>4</w:t>
            </w:r>
            <w:r>
              <w:rPr>
                <w:rFonts w:hint="eastAsia" w:ascii="宋体" w:hAnsi="宋体" w:cs="宋体"/>
                <w:b/>
                <w:kern w:val="0"/>
                <w:sz w:val="21"/>
                <w:szCs w:val="21"/>
                <w:lang w:val="en-US" w:eastAsia="en-US"/>
              </w:rPr>
              <w:t>.1颗粒上料单元</w:t>
            </w:r>
          </w:p>
          <w:p>
            <w:pPr>
              <w:numPr>
                <w:ilvl w:val="0"/>
                <w:numId w:val="0"/>
              </w:numPr>
              <w:autoSpaceDE w:val="0"/>
              <w:autoSpaceDN w:val="0"/>
              <w:adjustRightInd w:val="0"/>
              <w:spacing w:line="360" w:lineRule="exact"/>
              <w:ind w:firstLine="422" w:firstLineChars="200"/>
              <w:outlineLvl w:val="1"/>
              <w:rPr>
                <w:rFonts w:hint="eastAsia" w:ascii="宋体" w:hAnsi="宋体" w:cs="宋体"/>
                <w:b/>
                <w:kern w:val="0"/>
                <w:sz w:val="21"/>
                <w:szCs w:val="21"/>
                <w:lang w:val="en-US" w:eastAsia="en-US"/>
              </w:rPr>
            </w:pPr>
            <w:r>
              <w:rPr>
                <w:rFonts w:hint="eastAsia" w:ascii="宋体" w:hAnsi="宋体" w:cs="宋体"/>
                <w:b/>
                <w:kern w:val="0"/>
                <w:sz w:val="21"/>
                <w:szCs w:val="21"/>
                <w:lang w:val="en-US" w:eastAsia="zh-CN"/>
              </w:rPr>
              <w:t>4</w:t>
            </w:r>
            <w:r>
              <w:rPr>
                <w:rFonts w:hint="eastAsia" w:ascii="宋体" w:hAnsi="宋体" w:cs="宋体"/>
                <w:b/>
                <w:kern w:val="0"/>
                <w:sz w:val="21"/>
                <w:szCs w:val="21"/>
                <w:lang w:val="en-US" w:eastAsia="en-US"/>
              </w:rPr>
              <w:t>.1.1单元组成介绍</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en-US" w:bidi="ar-SA"/>
              </w:rPr>
            </w:pPr>
            <w:r>
              <w:rPr>
                <w:rFonts w:hint="eastAsia" w:ascii="宋体" w:hAnsi="宋体" w:eastAsia="宋体" w:cs="宋体"/>
                <w:kern w:val="0"/>
                <w:sz w:val="21"/>
                <w:szCs w:val="21"/>
                <w:lang w:val="en-US" w:eastAsia="en-US" w:bidi="ar-SA"/>
              </w:rPr>
              <w:t>颗粒上料单元主要由工作实训平台、圆盘输送机构模块、上料输送机构模块、主输送机构模块、颗粒上料机构模块、颗粒装填机构模块及其控制系统等组成。工作实训平台整体采用铝型材框架结构，尺寸约800mm×1040mm×850mm，正面采用开关自动门设计，按下开门按钮门能自动打开并自动亮灯电气控制挂板自动推出，按下关门按钮门能自动关闭并自动关灯电气控制挂板自动收回，桌体封板采用 1.5mm厚的优质钢板，经过机械加工成型，外表面喷涂环氧聚塑，整机既坚固耐用，又美观大方，桌面采用 20×80mm优质专业铝型材拼接成型，可根据执行机构的联机情况随意调整安装位置；圆盘输送机构模块有料盘、导向机构、旋转电机等组成，实现瓶身的自动供给；颗粒上料机构模块由两条皮带组成，两条皮带不同方向运行，通过导向机构实现颗粒物料定向选料，将颗粒输送到料槽；颗粒装填机构底部装有 0-180度可调节旋转气缸，上部装有升降气缸，通过前部吸盘吸取物料到物料瓶；控制系统布置于电气控制挂板上，配置有PLC系统、交流变频系统以及与控制要求配套的低压控制器件，按钮操作面板 10mm厚的铝合金板加工而成，表面贴有PVC面皮，印有安全注意事项信息，控制按钮采用方型按键设计，设置有“启动、停止、复位、单机、联机、急停、开关门”等控制功能。</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b/>
                <w:bCs/>
                <w:kern w:val="0"/>
                <w:sz w:val="21"/>
                <w:szCs w:val="21"/>
                <w:lang w:val="en-US" w:eastAsia="en-US" w:bidi="ar-SA"/>
              </w:rPr>
            </w:pPr>
            <w:r>
              <w:rPr>
                <w:rFonts w:hint="eastAsia" w:ascii="宋体" w:hAnsi="宋体" w:eastAsia="宋体" w:cs="宋体"/>
                <w:b/>
                <w:bCs/>
                <w:kern w:val="0"/>
                <w:sz w:val="21"/>
                <w:szCs w:val="21"/>
                <w:lang w:val="en-US" w:eastAsia="zh-CN" w:bidi="ar-SA"/>
              </w:rPr>
              <w:t>4</w:t>
            </w:r>
            <w:r>
              <w:rPr>
                <w:rFonts w:hint="eastAsia" w:ascii="宋体" w:hAnsi="宋体" w:eastAsia="宋体" w:cs="宋体"/>
                <w:b/>
                <w:bCs/>
                <w:kern w:val="0"/>
                <w:sz w:val="21"/>
                <w:szCs w:val="21"/>
                <w:lang w:val="en-US" w:eastAsia="en-US" w:bidi="ar-SA"/>
              </w:rPr>
              <w:t>.1.2单元功能介绍</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en-US" w:bidi="ar-SA"/>
              </w:rPr>
            </w:pPr>
            <w:r>
              <w:rPr>
                <w:rFonts w:hint="eastAsia" w:ascii="宋体" w:hAnsi="宋体" w:eastAsia="宋体" w:cs="宋体"/>
                <w:kern w:val="0"/>
                <w:sz w:val="21"/>
                <w:szCs w:val="21"/>
                <w:lang w:val="en-US" w:eastAsia="en-US" w:bidi="ar-SA"/>
              </w:rPr>
              <w:t>通过圆盘输送机构将空瓶逐个输送到上料输送线上，上料输送皮带逐个将空瓶输送至填装输送带上；同时颗粒上料机构中料筒推出物料，将物料输送至取料槽；当空瓶到达填装位后，定位夹紧机构将空瓶固定；吸取机构将分拣到的颗粒物料吸取并放到空瓶内；瓶内颗料物料达到设定的数量后，定位夹紧机构松开，皮带启动，将瓶子输送到下一个工位。本单元可选择多样化的填装方式，可根据物料颜色进行不通方式的组合（最多装填 4颗）。</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b/>
                <w:bCs/>
                <w:kern w:val="0"/>
                <w:sz w:val="21"/>
                <w:szCs w:val="21"/>
                <w:lang w:val="en-US" w:eastAsia="en-US" w:bidi="ar-SA"/>
              </w:rPr>
            </w:pPr>
            <w:r>
              <w:rPr>
                <w:rFonts w:hint="eastAsia" w:ascii="宋体" w:hAnsi="宋体" w:eastAsia="宋体" w:cs="宋体"/>
                <w:b/>
                <w:bCs/>
                <w:kern w:val="0"/>
                <w:sz w:val="21"/>
                <w:szCs w:val="21"/>
                <w:lang w:val="en-US" w:eastAsia="zh-CN" w:bidi="ar-SA"/>
              </w:rPr>
              <w:t>4</w:t>
            </w:r>
            <w:r>
              <w:rPr>
                <w:rFonts w:hint="eastAsia" w:ascii="宋体" w:hAnsi="宋体" w:eastAsia="宋体" w:cs="宋体"/>
                <w:b/>
                <w:bCs/>
                <w:kern w:val="0"/>
                <w:sz w:val="21"/>
                <w:szCs w:val="21"/>
                <w:lang w:val="en-US" w:eastAsia="en-US" w:bidi="ar-SA"/>
              </w:rPr>
              <w:t>.2加盖拧盖单元</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b/>
                <w:bCs/>
                <w:kern w:val="0"/>
                <w:sz w:val="21"/>
                <w:szCs w:val="21"/>
                <w:lang w:val="en-US" w:eastAsia="en-US" w:bidi="ar-SA"/>
              </w:rPr>
            </w:pPr>
            <w:r>
              <w:rPr>
                <w:rFonts w:hint="eastAsia" w:ascii="宋体" w:hAnsi="宋体" w:eastAsia="宋体" w:cs="宋体"/>
                <w:b/>
                <w:bCs/>
                <w:kern w:val="0"/>
                <w:sz w:val="21"/>
                <w:szCs w:val="21"/>
                <w:lang w:val="en-US" w:eastAsia="zh-CN" w:bidi="ar-SA"/>
              </w:rPr>
              <w:t>4</w:t>
            </w:r>
            <w:r>
              <w:rPr>
                <w:rFonts w:hint="eastAsia" w:ascii="宋体" w:hAnsi="宋体" w:eastAsia="宋体" w:cs="宋体"/>
                <w:b/>
                <w:bCs/>
                <w:kern w:val="0"/>
                <w:sz w:val="21"/>
                <w:szCs w:val="21"/>
                <w:lang w:val="en-US" w:eastAsia="en-US" w:bidi="ar-SA"/>
              </w:rPr>
              <w:t>.2.1单元组成介绍</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en-US" w:bidi="ar-SA"/>
              </w:rPr>
            </w:pPr>
            <w:r>
              <w:rPr>
                <w:rFonts w:hint="eastAsia" w:ascii="宋体" w:hAnsi="宋体" w:eastAsia="宋体" w:cs="宋体"/>
                <w:kern w:val="0"/>
                <w:sz w:val="21"/>
                <w:szCs w:val="21"/>
                <w:lang w:val="en-US" w:eastAsia="en-US" w:bidi="ar-SA"/>
              </w:rPr>
              <w:t>加盖拧盖单元主要由工作实训平台、加盖执行机构、拧盖执行机构、物料传输皮带、备用瓶盖料仓及其控制系统等组成。工作实训平台整体采用铝型材框架结构，尺寸约 800mm×1040mm×850mm，正面采用开关自动门设计，按下开门按钮门能自动打开并自动亮灯电气控制挂板自动推出，按下关门按钮门能自动关闭并自动关灯电气控制挂板自动收回，桌体封板采用 1.5mm厚的优质钢板，经过机械加工成型，外表面喷涂环氧聚塑，整机既坚固耐用，又美观大方，桌面采用 20×80mm优质专业铝型材拼接成型，可根据执行机构的联机情况随意调整安装位置；加盖执行机构由推料气缸、加盖升降气缸、压料气缸、取料吸盘、料筒组成，自动完成对瓶子的加盖；拧盖执行机构由拧盖电机、拧盖升降气缸组成，自动完成对瓶子的拧盖；控制系统布置于电气控制挂板上，配置有PLC系统以及与控制要求配套的低压控制器件，按钮操作面板 10mm厚的铝合金板加工而成，表面贴有PVC面皮，印有安全注意事项信息，控制按钮采用方型按键设计，设置有“启动、停止、复位、单机、联机、急停、开关门”等控制功能。</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b/>
                <w:bCs/>
                <w:kern w:val="0"/>
                <w:sz w:val="21"/>
                <w:szCs w:val="21"/>
                <w:lang w:val="en-US" w:eastAsia="en-US" w:bidi="ar-SA"/>
              </w:rPr>
            </w:pPr>
            <w:r>
              <w:rPr>
                <w:rFonts w:hint="eastAsia" w:ascii="宋体" w:hAnsi="宋体" w:eastAsia="宋体" w:cs="宋体"/>
                <w:b/>
                <w:bCs/>
                <w:kern w:val="0"/>
                <w:sz w:val="21"/>
                <w:szCs w:val="21"/>
                <w:lang w:val="en-US" w:eastAsia="zh-CN" w:bidi="ar-SA"/>
              </w:rPr>
              <w:t>4</w:t>
            </w:r>
            <w:r>
              <w:rPr>
                <w:rFonts w:hint="eastAsia" w:ascii="宋体" w:hAnsi="宋体" w:eastAsia="宋体" w:cs="宋体"/>
                <w:b/>
                <w:bCs/>
                <w:kern w:val="0"/>
                <w:sz w:val="21"/>
                <w:szCs w:val="21"/>
                <w:lang w:val="en-US" w:eastAsia="en-US" w:bidi="ar-SA"/>
              </w:rPr>
              <w:t>.2.2单元功能介绍</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en-US" w:bidi="ar-SA"/>
              </w:rPr>
            </w:pPr>
            <w:r>
              <w:rPr>
                <w:rFonts w:hint="eastAsia" w:ascii="宋体" w:hAnsi="宋体" w:eastAsia="宋体" w:cs="宋体"/>
                <w:kern w:val="0"/>
                <w:sz w:val="21"/>
                <w:szCs w:val="21"/>
                <w:lang w:val="en-US" w:eastAsia="en-US" w:bidi="ar-SA"/>
              </w:rPr>
              <w:t>瓶子被输送到加盖机构后，夹盖定位夹紧机构将瓶子固定，加盖机构启动加盖程序，将盖子加到瓶子上；加上盖子的瓶子继续被送往拧盖机构，到拧盖机构下方，拧盖定位夹紧机构将瓶子固定，拧盖机构启动，将瓶盖拧紧。瓶盖分为白色和蓝色两种。</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b/>
                <w:bCs/>
                <w:kern w:val="0"/>
                <w:sz w:val="21"/>
                <w:szCs w:val="21"/>
                <w:lang w:val="en-US" w:eastAsia="en-US" w:bidi="ar-SA"/>
              </w:rPr>
            </w:pPr>
            <w:r>
              <w:rPr>
                <w:rFonts w:hint="eastAsia" w:ascii="宋体" w:hAnsi="宋体" w:eastAsia="宋体" w:cs="宋体"/>
                <w:b/>
                <w:bCs/>
                <w:kern w:val="0"/>
                <w:sz w:val="21"/>
                <w:szCs w:val="21"/>
                <w:lang w:val="en-US" w:eastAsia="zh-CN" w:bidi="ar-SA"/>
              </w:rPr>
              <w:t>4</w:t>
            </w:r>
            <w:r>
              <w:rPr>
                <w:rFonts w:hint="eastAsia" w:ascii="宋体" w:hAnsi="宋体" w:eastAsia="宋体" w:cs="宋体"/>
                <w:b/>
                <w:bCs/>
                <w:kern w:val="0"/>
                <w:sz w:val="21"/>
                <w:szCs w:val="21"/>
                <w:lang w:val="en-US" w:eastAsia="en-US" w:bidi="ar-SA"/>
              </w:rPr>
              <w:t>.3检测分拣单元</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b/>
                <w:bCs/>
                <w:kern w:val="0"/>
                <w:sz w:val="21"/>
                <w:szCs w:val="21"/>
                <w:lang w:val="en-US" w:eastAsia="en-US" w:bidi="ar-SA"/>
              </w:rPr>
            </w:pPr>
            <w:r>
              <w:rPr>
                <w:rFonts w:hint="eastAsia" w:ascii="宋体" w:hAnsi="宋体" w:eastAsia="宋体" w:cs="宋体"/>
                <w:b/>
                <w:bCs/>
                <w:kern w:val="0"/>
                <w:sz w:val="21"/>
                <w:szCs w:val="21"/>
                <w:lang w:val="en-US" w:eastAsia="zh-CN" w:bidi="ar-SA"/>
              </w:rPr>
              <w:t>4</w:t>
            </w:r>
            <w:r>
              <w:rPr>
                <w:rFonts w:hint="eastAsia" w:ascii="宋体" w:hAnsi="宋体" w:eastAsia="宋体" w:cs="宋体"/>
                <w:b/>
                <w:bCs/>
                <w:kern w:val="0"/>
                <w:sz w:val="21"/>
                <w:szCs w:val="21"/>
                <w:lang w:val="en-US" w:eastAsia="en-US" w:bidi="ar-SA"/>
              </w:rPr>
              <w:t>.3.1单元组成介绍</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en-US" w:bidi="ar-SA"/>
              </w:rPr>
            </w:pPr>
            <w:r>
              <w:rPr>
                <w:rFonts w:hint="eastAsia" w:ascii="宋体" w:hAnsi="宋体" w:eastAsia="宋体" w:cs="宋体"/>
                <w:kern w:val="0"/>
                <w:sz w:val="21"/>
                <w:szCs w:val="21"/>
                <w:lang w:val="en-US" w:eastAsia="en-US" w:bidi="ar-SA"/>
              </w:rPr>
              <w:t>检测分拣单元由工作实训平台、检测机构、物料传输皮带、不合格品分拣机构、RFID识别机构、视觉检测机构及其控制系统等部分组成，工作实训平台整体采用铝型材框架结构，尺寸约 800mm×1040mm×850mm，正面采用开关自动门设计，按下开门按钮门能自动打开并自动亮灯电气控制挂板自动推出，按下关门按钮门能自动关闭并自动关灯电气控制挂板自动收回，桌体封板采用 1.5mm厚的优质钢板，经过机械加工成型，外表面喷涂环氧聚塑，整机既坚固耐用，又美观大方，桌面采用 20×80mm优质专业铝型材拼接成型，可根据执行机构的联机情况随意调整安装位置；检测机构采用一体式结构，装置有反射式传感器和光纤式传感器，能进行物料有无、瓶盖拧紧与否等工况的检测，机构还装置有反应检测合格与否信号的彩灯，能根据物料的合格情况进行不同显示；单元还包括RFID读写器和机器视觉，其中RFID能对每个瓶子内的电子标签进行识别读取，视觉传感器可以对瓶盖进行颜色或内容的识别；控制系统布置于电气控制挂板上，配置有PLC系统以及与控制要求配套的低压控制器件，按钮操作面板 10mm厚的铝合金板加工而成，表面贴有PVC面皮，印有安全注意事项信息，控制按钮采用方型按键设计，设置有“启动、停止、复位、单机、联机、急停、开关门”等控制功能。</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b/>
                <w:bCs/>
                <w:kern w:val="0"/>
                <w:sz w:val="21"/>
                <w:szCs w:val="21"/>
                <w:lang w:val="en-US" w:eastAsia="en-US" w:bidi="ar-SA"/>
              </w:rPr>
            </w:pPr>
            <w:r>
              <w:rPr>
                <w:rFonts w:hint="eastAsia" w:ascii="宋体" w:hAnsi="宋体" w:eastAsia="宋体" w:cs="宋体"/>
                <w:b/>
                <w:bCs/>
                <w:kern w:val="0"/>
                <w:sz w:val="21"/>
                <w:szCs w:val="21"/>
                <w:lang w:val="en-US" w:eastAsia="zh-CN" w:bidi="ar-SA"/>
              </w:rPr>
              <w:t>4</w:t>
            </w:r>
            <w:r>
              <w:rPr>
                <w:rFonts w:hint="eastAsia" w:ascii="宋体" w:hAnsi="宋体" w:eastAsia="宋体" w:cs="宋体"/>
                <w:b/>
                <w:bCs/>
                <w:kern w:val="0"/>
                <w:sz w:val="21"/>
                <w:szCs w:val="21"/>
                <w:lang w:val="en-US" w:eastAsia="en-US" w:bidi="ar-SA"/>
              </w:rPr>
              <w:t>.3.2单元功能介绍</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en-US" w:bidi="ar-SA"/>
              </w:rPr>
            </w:pPr>
            <w:r>
              <w:rPr>
                <w:rFonts w:hint="eastAsia" w:ascii="宋体" w:hAnsi="宋体" w:eastAsia="宋体" w:cs="宋体"/>
                <w:kern w:val="0"/>
                <w:sz w:val="21"/>
                <w:szCs w:val="21"/>
                <w:lang w:val="en-US" w:eastAsia="en-US" w:bidi="ar-SA"/>
              </w:rPr>
              <w:t>拧盖后的瓶子经过此单元进行检测，进料传感器检测是否有物料进入，回归反射传感器检测瓶盖是否拧紧；检测机构检测瓶子内部颗粒是否符合要求，并进行瓶盖颜色判别区分；拧盖或颗粒不合格的瓶子被分拣机构推送到废品皮带上（短皮带）；废品皮带上又包含 3 个分拣机构，可以分别对颗粒数量不合格、瓶盖未拧紧、颗粒和瓶盖均不合格的物料进行分拣；拧盖与颗粒均合格的瓶子被输送到皮带末端，等待机器人搬运；配有彩色指示灯，可根据物料情况进行不同显示。</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b/>
                <w:bCs/>
                <w:kern w:val="0"/>
                <w:sz w:val="21"/>
                <w:szCs w:val="21"/>
                <w:lang w:val="en-US" w:eastAsia="en-US" w:bidi="ar-SA"/>
              </w:rPr>
            </w:pPr>
            <w:r>
              <w:rPr>
                <w:rFonts w:hint="eastAsia" w:ascii="宋体" w:hAnsi="宋体" w:eastAsia="宋体" w:cs="宋体"/>
                <w:b/>
                <w:bCs/>
                <w:kern w:val="0"/>
                <w:sz w:val="21"/>
                <w:szCs w:val="21"/>
                <w:lang w:val="en-US" w:eastAsia="zh-CN" w:bidi="ar-SA"/>
              </w:rPr>
              <w:t>4</w:t>
            </w:r>
            <w:r>
              <w:rPr>
                <w:rFonts w:hint="eastAsia" w:ascii="宋体" w:hAnsi="宋体" w:eastAsia="宋体" w:cs="宋体"/>
                <w:b/>
                <w:bCs/>
                <w:kern w:val="0"/>
                <w:sz w:val="21"/>
                <w:szCs w:val="21"/>
                <w:lang w:val="en-US" w:eastAsia="en-US" w:bidi="ar-SA"/>
              </w:rPr>
              <w:t>.4工业机器人搬运单元</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b/>
                <w:bCs/>
                <w:kern w:val="0"/>
                <w:sz w:val="21"/>
                <w:szCs w:val="21"/>
                <w:lang w:val="en-US" w:eastAsia="en-US" w:bidi="ar-SA"/>
              </w:rPr>
            </w:pPr>
            <w:r>
              <w:rPr>
                <w:rFonts w:hint="eastAsia" w:ascii="宋体" w:hAnsi="宋体" w:eastAsia="宋体" w:cs="宋体"/>
                <w:b/>
                <w:bCs/>
                <w:kern w:val="0"/>
                <w:sz w:val="21"/>
                <w:szCs w:val="21"/>
                <w:lang w:val="en-US" w:eastAsia="zh-CN" w:bidi="ar-SA"/>
              </w:rPr>
              <w:t>4</w:t>
            </w:r>
            <w:r>
              <w:rPr>
                <w:rFonts w:hint="eastAsia" w:ascii="宋体" w:hAnsi="宋体" w:eastAsia="宋体" w:cs="宋体"/>
                <w:b/>
                <w:bCs/>
                <w:kern w:val="0"/>
                <w:sz w:val="21"/>
                <w:szCs w:val="21"/>
                <w:lang w:val="en-US" w:eastAsia="en-US" w:bidi="ar-SA"/>
              </w:rPr>
              <w:t>.4.1单元组成介绍</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en-US" w:bidi="ar-SA"/>
              </w:rPr>
            </w:pPr>
            <w:r>
              <w:rPr>
                <w:rFonts w:hint="eastAsia" w:ascii="宋体" w:hAnsi="宋体" w:eastAsia="宋体" w:cs="宋体"/>
                <w:kern w:val="0"/>
                <w:sz w:val="21"/>
                <w:szCs w:val="21"/>
                <w:lang w:val="en-US" w:eastAsia="en-US" w:bidi="ar-SA"/>
              </w:rPr>
              <w:t>工业机器人搬运单元主要由工作实训平台、6 轴工业机器人、物料提升机构、标签库及其控制系统等组成。工作实训平台整体采用铝型材框架结构，尺寸约 800mm×1040mm×850mm，正面采用开关自动门设计，按下开门按钮门能自动打开并自动亮灯电气控制挂板自动推出，按下关门按钮门能自动关闭并自动关灯电气控制挂板自动收回，桌体封板采用 1.5mm厚的优质钢板，经过机械加工成型，外表面喷涂环氧聚塑，整机既坚固耐用，又美观大方，桌面采用 20×80mm优质专业铝型材拼接成型，可根据执行机构的联机情况随意调整安装位置；6轴工业机器人，载重量≥2Kg，工业机器人配置有气动手抓＋真空吸盘复合夹具，可实现搬运、装配、贴标等功能；物料提升机构采用步进电机控制，可同时储放三个物料，能根据使用情况实现自动提升；挡料机构和定位机构装在装配台上，供物料盒的准确定位装盒；控制系统布置于电气控制挂板上，配置有PLC系统、步进驱动以及与控制要求配套的低压控制器件，按钮操作面板 10mm厚的铝合金板加工而成，表面贴有PVC面皮，印有安全注意事项信息，控制按钮采用方型按键设计，设置有“启动、停止、复位、单机、联机、急停、开关门”等控制功能。</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b/>
                <w:bCs/>
                <w:kern w:val="0"/>
                <w:sz w:val="21"/>
                <w:szCs w:val="21"/>
                <w:lang w:val="en-US" w:eastAsia="en-US" w:bidi="ar-SA"/>
              </w:rPr>
            </w:pPr>
            <w:r>
              <w:rPr>
                <w:rFonts w:hint="eastAsia" w:ascii="宋体" w:hAnsi="宋体" w:eastAsia="宋体" w:cs="宋体"/>
                <w:b/>
                <w:bCs/>
                <w:kern w:val="0"/>
                <w:sz w:val="21"/>
                <w:szCs w:val="21"/>
                <w:lang w:val="en-US" w:eastAsia="zh-CN" w:bidi="ar-SA"/>
              </w:rPr>
              <w:t>4</w:t>
            </w:r>
            <w:r>
              <w:rPr>
                <w:rFonts w:hint="eastAsia" w:ascii="宋体" w:hAnsi="宋体" w:eastAsia="宋体" w:cs="宋体"/>
                <w:b/>
                <w:bCs/>
                <w:kern w:val="0"/>
                <w:sz w:val="21"/>
                <w:szCs w:val="21"/>
                <w:lang w:val="en-US" w:eastAsia="en-US" w:bidi="ar-SA"/>
              </w:rPr>
              <w:t>.4.2单元功能介绍</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en-US" w:bidi="ar-SA"/>
              </w:rPr>
            </w:pPr>
            <w:r>
              <w:rPr>
                <w:rFonts w:hint="eastAsia" w:ascii="宋体" w:hAnsi="宋体" w:eastAsia="宋体" w:cs="宋体"/>
                <w:kern w:val="0"/>
                <w:sz w:val="21"/>
                <w:szCs w:val="21"/>
                <w:lang w:val="en-US" w:eastAsia="en-US" w:bidi="ar-SA"/>
              </w:rPr>
              <w:t>工业机器人搬运单元，A料盒补给升降机构平台与B料盖补给升降平台分别将料盒与料盖提升起来，装配台挡料气缸伸出，并A料盒补给升降机构平台将料盒推出至装配台上，装配台夹紧气缸将物料盒固定定位，工业机器人前往前站搬运瓶子至装配台物料盒内，待工业机器人将四个瓶子放满后，工业机器人将料盒盖吸取并将前往装配台进行装配，工业机器人前往标签模块，吸取对应的标签并依次按照瓶盖上的颜色对应的依次贴标。</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b/>
                <w:bCs/>
                <w:kern w:val="0"/>
                <w:sz w:val="21"/>
                <w:szCs w:val="21"/>
                <w:lang w:val="en-US" w:eastAsia="en-US" w:bidi="ar-SA"/>
              </w:rPr>
            </w:pPr>
            <w:r>
              <w:rPr>
                <w:rFonts w:hint="eastAsia" w:ascii="宋体" w:hAnsi="宋体" w:eastAsia="宋体" w:cs="宋体"/>
                <w:b/>
                <w:bCs/>
                <w:kern w:val="0"/>
                <w:sz w:val="21"/>
                <w:szCs w:val="21"/>
                <w:lang w:val="en-US" w:eastAsia="zh-CN" w:bidi="ar-SA"/>
              </w:rPr>
              <w:t>4</w:t>
            </w:r>
            <w:r>
              <w:rPr>
                <w:rFonts w:hint="eastAsia" w:ascii="宋体" w:hAnsi="宋体" w:eastAsia="宋体" w:cs="宋体"/>
                <w:b/>
                <w:bCs/>
                <w:kern w:val="0"/>
                <w:sz w:val="21"/>
                <w:szCs w:val="21"/>
                <w:lang w:val="en-US" w:eastAsia="en-US" w:bidi="ar-SA"/>
              </w:rPr>
              <w:t>.5智能仓储单元</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b/>
                <w:bCs/>
                <w:kern w:val="0"/>
                <w:sz w:val="21"/>
                <w:szCs w:val="21"/>
                <w:lang w:val="en-US" w:eastAsia="en-US" w:bidi="ar-SA"/>
              </w:rPr>
            </w:pPr>
            <w:r>
              <w:rPr>
                <w:rFonts w:hint="eastAsia" w:ascii="宋体" w:hAnsi="宋体" w:eastAsia="宋体" w:cs="宋体"/>
                <w:b/>
                <w:bCs/>
                <w:kern w:val="0"/>
                <w:sz w:val="21"/>
                <w:szCs w:val="21"/>
                <w:lang w:val="en-US" w:eastAsia="zh-CN" w:bidi="ar-SA"/>
              </w:rPr>
              <w:t>4</w:t>
            </w:r>
            <w:r>
              <w:rPr>
                <w:rFonts w:hint="eastAsia" w:ascii="宋体" w:hAnsi="宋体" w:eastAsia="宋体" w:cs="宋体"/>
                <w:b/>
                <w:bCs/>
                <w:kern w:val="0"/>
                <w:sz w:val="21"/>
                <w:szCs w:val="21"/>
                <w:lang w:val="en-US" w:eastAsia="en-US" w:bidi="ar-SA"/>
              </w:rPr>
              <w:t>.5.1单元组成介绍</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en-US" w:bidi="ar-SA"/>
              </w:rPr>
            </w:pPr>
            <w:r>
              <w:rPr>
                <w:rFonts w:hint="eastAsia" w:ascii="宋体" w:hAnsi="宋体" w:eastAsia="宋体" w:cs="宋体"/>
                <w:kern w:val="0"/>
                <w:sz w:val="21"/>
                <w:szCs w:val="21"/>
                <w:lang w:val="en-US" w:eastAsia="en-US" w:bidi="ar-SA"/>
              </w:rPr>
              <w:t>智能仓储单元主要由工作实训平台、立体仓库、四轴堆垛机构、触摸屏及其控制系统等组成，工作实训平台整体采用铝型材框架结构，尺寸约 800mm×1040mm×850mm，正面采用开关自动门设计，按下开门按钮门能自动打开并自动亮灯电气控制挂板自动推出，按下关门按钮门能自动关闭并自动关灯电气控制挂板自动收回，桌体封板采用 1.5mm厚的优质钢板，经过机械加工成型，外表面喷涂环氧聚塑，整机既坚固耐用，又美观大方，桌面采用 20×80mm优质专业铝型材拼接成型，可根据执行机构的联机情况随意调整安装位置；立体仓库由两座 3×3的仓库组成，共 18个库位，仓位上有与物料盒规格大小一致的凹槽，便于物料盒的存储和精准定位，每仓位均安装有检测传感器，可实时反应仓位的存储状态；堆垛机构水平轴移动为同步带传动机构，堆垛机构水平轴旋转为一个涡轮蜗杆旋转机构，垂直机构为直线模组升降机构，货叉机构为气缸结构，由 2个精密伺服电机，1个步进电机共同进行高精度控制；控制系统布置于电气控制挂板上，配置有PLC系统、交流伺服系统以及与控制要求配套的低压控制器件，按钮操作面板 10mm厚的铝合金板加工而成，表面贴有PVC面皮，印有安全注意事项信息，控制按钮采用方型按键设计，设置有“启动、停止、复位、单机、联机、急停、开关门”等控制功能。</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b/>
                <w:bCs/>
                <w:kern w:val="0"/>
                <w:sz w:val="21"/>
                <w:szCs w:val="21"/>
                <w:lang w:val="en-US" w:eastAsia="en-US" w:bidi="ar-SA"/>
              </w:rPr>
            </w:pPr>
            <w:r>
              <w:rPr>
                <w:rFonts w:hint="eastAsia" w:ascii="宋体" w:hAnsi="宋体" w:eastAsia="宋体" w:cs="宋体"/>
                <w:b/>
                <w:bCs/>
                <w:kern w:val="0"/>
                <w:sz w:val="21"/>
                <w:szCs w:val="21"/>
                <w:lang w:val="en-US" w:eastAsia="zh-CN" w:bidi="ar-SA"/>
              </w:rPr>
              <w:t>4</w:t>
            </w:r>
            <w:r>
              <w:rPr>
                <w:rFonts w:hint="eastAsia" w:ascii="宋体" w:hAnsi="宋体" w:eastAsia="宋体" w:cs="宋体"/>
                <w:b/>
                <w:bCs/>
                <w:kern w:val="0"/>
                <w:sz w:val="21"/>
                <w:szCs w:val="21"/>
                <w:lang w:val="en-US" w:eastAsia="en-US" w:bidi="ar-SA"/>
              </w:rPr>
              <w:t>.5.2单元功能介绍</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en-US" w:bidi="ar-SA"/>
              </w:rPr>
            </w:pPr>
            <w:r>
              <w:rPr>
                <w:rFonts w:hint="eastAsia" w:ascii="宋体" w:hAnsi="宋体" w:eastAsia="宋体" w:cs="宋体"/>
                <w:kern w:val="0"/>
                <w:sz w:val="21"/>
                <w:szCs w:val="21"/>
                <w:lang w:val="en-US" w:eastAsia="en-US" w:bidi="ar-SA"/>
              </w:rPr>
              <w:t>堆垛机构把机器人单元物料台上的包装盒体叉取出来，然后按要求依次放入仓储相应仓位，可进行产品的出库、入库、移库等操作。</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b/>
                <w:bCs/>
                <w:kern w:val="0"/>
                <w:sz w:val="21"/>
                <w:szCs w:val="21"/>
                <w:lang w:val="en-US" w:eastAsia="en-US" w:bidi="ar-SA"/>
              </w:rPr>
            </w:pPr>
            <w:r>
              <w:rPr>
                <w:rFonts w:hint="eastAsia" w:ascii="宋体" w:hAnsi="宋体" w:eastAsia="宋体" w:cs="宋体"/>
                <w:b/>
                <w:bCs/>
                <w:kern w:val="0"/>
                <w:sz w:val="21"/>
                <w:szCs w:val="21"/>
                <w:lang w:val="en-US" w:eastAsia="zh-CN" w:bidi="ar-SA"/>
              </w:rPr>
              <w:t>4</w:t>
            </w:r>
            <w:r>
              <w:rPr>
                <w:rFonts w:hint="eastAsia" w:ascii="宋体" w:hAnsi="宋体" w:eastAsia="宋体" w:cs="宋体"/>
                <w:b/>
                <w:bCs/>
                <w:kern w:val="0"/>
                <w:sz w:val="21"/>
                <w:szCs w:val="21"/>
                <w:lang w:val="en-US" w:eastAsia="en-US" w:bidi="ar-SA"/>
              </w:rPr>
              <w:t>.6装配工作台</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en-US" w:bidi="ar-SA"/>
              </w:rPr>
            </w:pPr>
            <w:r>
              <w:rPr>
                <w:rFonts w:hint="eastAsia" w:ascii="宋体" w:hAnsi="宋体" w:eastAsia="宋体" w:cs="宋体"/>
                <w:kern w:val="0"/>
                <w:sz w:val="21"/>
                <w:szCs w:val="21"/>
                <w:lang w:val="en-US" w:eastAsia="en-US" w:bidi="ar-SA"/>
              </w:rPr>
              <w:t>由台身、台面和工具柜三大部分组成。台身用钣金折弯焊接喷塑后组装连接，台面用高密度中纤板，表面贴压防火板，耐腐蚀、防静电。插座不占用台面空间；带一体化存储式工具柜，2 层抽屉式，带管理功能。尺寸：1200mm×750mm×800mm(长×宽×高)。</w:t>
            </w:r>
          </w:p>
          <w:p>
            <w:pPr>
              <w:pStyle w:val="12"/>
              <w:keepNext w:val="0"/>
              <w:keepLines w:val="0"/>
              <w:widowControl/>
              <w:suppressLineNumbers w:val="0"/>
              <w:spacing w:before="0" w:beforeAutospacing="0" w:after="100" w:afterAutospacing="0" w:line="190" w:lineRule="atLeast"/>
              <w:ind w:left="0" w:right="0" w:firstLine="320"/>
              <w:rPr>
                <w:rFonts w:hint="default" w:ascii="宋体" w:hAnsi="宋体" w:eastAsia="宋体" w:cs="宋体"/>
                <w:b/>
                <w:bCs/>
                <w:kern w:val="0"/>
                <w:sz w:val="21"/>
                <w:szCs w:val="21"/>
                <w:lang w:val="en-US" w:eastAsia="zh-CN" w:bidi="ar-SA"/>
              </w:rPr>
            </w:pPr>
            <w:r>
              <w:rPr>
                <w:rFonts w:hint="eastAsia" w:ascii="宋体" w:hAnsi="宋体" w:eastAsia="宋体" w:cs="宋体"/>
                <w:b/>
                <w:bCs/>
                <w:kern w:val="0"/>
                <w:sz w:val="21"/>
                <w:szCs w:val="21"/>
                <w:lang w:val="en-US" w:eastAsia="zh-CN" w:bidi="ar-SA"/>
              </w:rPr>
              <w:t>4.7 配套软件</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b/>
                <w:bCs/>
                <w:kern w:val="0"/>
                <w:sz w:val="21"/>
                <w:szCs w:val="21"/>
                <w:lang w:val="zh-CN" w:eastAsia="zh-CN" w:bidi="ar-SA"/>
              </w:rPr>
            </w:pPr>
            <w:r>
              <w:rPr>
                <w:rFonts w:hint="eastAsia" w:ascii="宋体" w:hAnsi="宋体" w:eastAsia="宋体" w:cs="宋体"/>
                <w:b/>
                <w:bCs/>
                <w:kern w:val="0"/>
                <w:sz w:val="21"/>
                <w:szCs w:val="21"/>
                <w:lang w:val="en-US" w:eastAsia="zh-CN" w:bidi="ar-SA"/>
              </w:rPr>
              <w:t>4.7.1</w:t>
            </w:r>
            <w:r>
              <w:rPr>
                <w:rFonts w:hint="eastAsia" w:ascii="宋体" w:hAnsi="宋体" w:eastAsia="宋体" w:cs="宋体"/>
                <w:b/>
                <w:bCs/>
                <w:kern w:val="0"/>
                <w:sz w:val="21"/>
                <w:szCs w:val="21"/>
                <w:lang w:val="zh-CN" w:eastAsia="zh-CN" w:bidi="ar-SA"/>
              </w:rPr>
              <w:t>多品牌工业机器人离线编程仿真软件</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多品牌工业机器人离线编程仿真软件，可实现实训设备的1:1仿真模拟运行，支持多个品牌多个型号工业机器人从3D模型导入-轨迹规划-运动仿真-机器人轨迹和工艺双重代码输出，实现离线编程，同时集成碰撞检测、关节限位调整、轨迹补偿、动画输出于一体，可快速生成效果逼真的模拟动画。广泛应用于打磨、去毛刺、焊接、激光切割等领域。</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1）正版软件，可提供持续的开发服务，具有省级及以上部门出具的软件测评报告及软件产品评估证书，保证了实训效果及确保了软件产品的性能可靠性；</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2）支持多种品牌工业机器人离线编程操作，控制各轴运动，根据设计轨迹仿真运行；</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3）支持机器人运动点位信息的后置输出；能够直接生成代码，导入控制柜，控制实体机器人（包括但不限于、Kuka，Efort、Fanuc等品牌的机器人）；</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4）支持虚拟传感器的建模与仿真，支持视觉，激光距离，力传感等传感器等传感器的仿真，效果接近真实传感器的效果；</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5）支持二次定制开发，提供超过300种不同的应用编程接口函数</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6）支持动力学仿真。通过设置各对象的质量、质心位置、惯性等参数进行动力学计算。提供Bullet引擎、ODE引擎、Vortex引擎、Newton引擎可供选择；</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7）支持半实物仿真：真实示教器能够控制离线编程软件中的虚拟机器人运动，并保持示教器中的点位数据和离线编程软件中的点位完全一致。离线编程软件中虚拟机器人运动仿真时，真实示教器能够实时显示离线编程软件中虚拟机器人的位置；</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8）支持与Simulink的交互。可从外部对场景中的机器人进行末端点的位置控制；</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9）支持多视图切换功能，可将场景切换到不同的视角进行操作。也可以在当前场景下选择多个视角显示。</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b/>
                <w:bCs/>
                <w:kern w:val="0"/>
                <w:sz w:val="21"/>
                <w:szCs w:val="21"/>
                <w:lang w:val="zh-CN" w:eastAsia="zh-CN" w:bidi="ar-SA"/>
              </w:rPr>
            </w:pPr>
            <w:r>
              <w:rPr>
                <w:rFonts w:hint="eastAsia" w:ascii="宋体" w:hAnsi="宋体" w:eastAsia="宋体" w:cs="宋体"/>
                <w:b/>
                <w:bCs/>
                <w:kern w:val="0"/>
                <w:sz w:val="21"/>
                <w:szCs w:val="21"/>
                <w:lang w:val="en-US" w:eastAsia="zh-CN" w:bidi="ar-SA"/>
              </w:rPr>
              <w:t xml:space="preserve">4.7.2 </w:t>
            </w:r>
            <w:r>
              <w:rPr>
                <w:rFonts w:hint="eastAsia" w:ascii="宋体" w:hAnsi="宋体" w:eastAsia="宋体" w:cs="宋体"/>
                <w:b/>
                <w:bCs/>
                <w:kern w:val="0"/>
                <w:sz w:val="21"/>
                <w:szCs w:val="21"/>
                <w:lang w:val="zh-CN" w:eastAsia="zh-CN" w:bidi="ar-SA"/>
              </w:rPr>
              <w:t>AR工业机器人仿真软件</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1）可以360度旋转、放缩3D视角</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2）支持虚拟拆装、焊接、码垛、喷涂等多种机器人、多种工艺</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3）工艺场景支持纯软件仿真演示，也支持示教器控制仿真软件运行</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4）软件有安卓端、PC端个版本，软件功能完全一致，并且能完全同步显示</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5）示教器控制模式下，能同时控制VR端、安卓端、PC端仿真软件运行</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6）免费升级工业机器人工艺实训内容，持续更新</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b/>
                <w:bCs/>
                <w:kern w:val="0"/>
                <w:sz w:val="21"/>
                <w:szCs w:val="21"/>
                <w:lang w:val="zh-CN" w:eastAsia="zh-CN" w:bidi="ar-SA"/>
              </w:rPr>
            </w:pPr>
            <w:r>
              <w:rPr>
                <w:rFonts w:hint="eastAsia" w:ascii="宋体" w:hAnsi="宋体" w:eastAsia="宋体" w:cs="宋体"/>
                <w:b/>
                <w:bCs/>
                <w:kern w:val="0"/>
                <w:sz w:val="21"/>
                <w:szCs w:val="21"/>
                <w:lang w:val="en-US" w:eastAsia="zh-CN" w:bidi="ar-SA"/>
              </w:rPr>
              <w:t xml:space="preserve">4.7.3 </w:t>
            </w:r>
            <w:r>
              <w:rPr>
                <w:rFonts w:hint="eastAsia" w:ascii="宋体" w:hAnsi="宋体" w:eastAsia="宋体" w:cs="宋体"/>
                <w:b/>
                <w:bCs/>
                <w:kern w:val="0"/>
                <w:sz w:val="21"/>
                <w:szCs w:val="21"/>
                <w:lang w:val="zh-CN" w:eastAsia="zh-CN" w:bidi="ar-SA"/>
              </w:rPr>
              <w:t>PLC技术AR仿真实训教学APP软件</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本软件具有实时交互性，在手机上打开本软件，将摄像头对准到特定物体上（图片/实物），然后增强现实系统可以在它上面展示出以下功能：PLC技术实训装置的动画演示、可编程控制器的介绍、变频器的介绍、工业触摸屏的介绍、PLC控制LED仿真实训、PLC控制继电接触电路仿真实训、PLC控制变频调速仿真实训。为了增强实训效果及确保软件产品的性能可靠性，投标时要提供省级及以上部门出具的软件测评报告及软件产品评估证书。软件内置AI智能语音助手，点击相应位置，自动语音讲解其功能。</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b/>
                <w:bCs/>
                <w:kern w:val="0"/>
                <w:sz w:val="21"/>
                <w:szCs w:val="21"/>
                <w:lang w:val="zh-CN" w:eastAsia="zh-CN" w:bidi="ar-SA"/>
              </w:rPr>
            </w:pPr>
            <w:r>
              <w:rPr>
                <w:rFonts w:hint="eastAsia" w:ascii="宋体" w:hAnsi="宋体" w:eastAsia="宋体" w:cs="宋体"/>
                <w:b/>
                <w:bCs/>
                <w:kern w:val="0"/>
                <w:sz w:val="21"/>
                <w:szCs w:val="21"/>
                <w:lang w:val="en-US" w:eastAsia="zh-CN" w:bidi="ar-SA"/>
              </w:rPr>
              <w:t xml:space="preserve">4.7.4 </w:t>
            </w:r>
            <w:r>
              <w:rPr>
                <w:rFonts w:hint="eastAsia" w:ascii="宋体" w:hAnsi="宋体" w:eastAsia="宋体" w:cs="宋体"/>
                <w:b/>
                <w:bCs/>
                <w:kern w:val="0"/>
                <w:sz w:val="21"/>
                <w:szCs w:val="21"/>
                <w:lang w:val="zh-CN" w:eastAsia="zh-CN" w:bidi="ar-SA"/>
              </w:rPr>
              <w:t>传感器技术AR仿真实训教学APP软件</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本软件具有实时交互性，在手机上打开本软件，将摄像头对准到特性物体上（实物或图片），然后增强现实系统可以在它上面展示出以下功能：</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1）原理展示：通过位移测量、振动测量、转速测量、环境测量等具体应用实例来展示传感器的基本原理，并可动态显示实验结果，以此加深学生对传感器的了解。</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2）零件展示：单独展示传感器的各个组成元件，观察零件的结构、材质以及材质类型。</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3）装配演示：以3D仿真的形式展示传感器的装配过程，让学生直观了解传感器的组成结构和装配方法。具有快速装配、慢速装配、放大、缩小、旋转视图等功能。</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4）支持霍尔位移传感器、霍尔转速传感器、压电传感器、湿敏传感器、气敏传感器、电涡流传感器、磁电传感器、差动电容传感器、差动变压器、金属箔应变传感器、扩散硅压力传感器、光纤位移传感器、光电转速传感器、集成温度传感器、K型热电偶、E型热电偶、PT100铂电阻等17个常用传感器。</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5）内置AI智能语音助手，点击相应位置，自动语音讲解其功能。为了增强实训效果及确保软件产品的性能可靠性，投标时要提供省级及以上部门出具的软件测评报告及软件产品评估证书。</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b/>
                <w:bCs/>
                <w:kern w:val="0"/>
                <w:sz w:val="21"/>
                <w:szCs w:val="21"/>
                <w:lang w:val="zh-CN" w:eastAsia="zh-CN" w:bidi="ar-SA"/>
              </w:rPr>
            </w:pPr>
            <w:r>
              <w:rPr>
                <w:rFonts w:hint="eastAsia" w:ascii="宋体" w:hAnsi="宋体" w:eastAsia="宋体" w:cs="宋体"/>
                <w:b/>
                <w:bCs/>
                <w:kern w:val="0"/>
                <w:sz w:val="21"/>
                <w:szCs w:val="21"/>
                <w:lang w:val="en-US" w:eastAsia="zh-CN" w:bidi="ar-SA"/>
              </w:rPr>
              <w:t xml:space="preserve">4.7.5 </w:t>
            </w:r>
            <w:r>
              <w:rPr>
                <w:rFonts w:hint="eastAsia" w:ascii="宋体" w:hAnsi="宋体" w:eastAsia="宋体" w:cs="宋体"/>
                <w:b/>
                <w:bCs/>
                <w:kern w:val="0"/>
                <w:sz w:val="21"/>
                <w:szCs w:val="21"/>
                <w:lang w:val="zh-CN" w:eastAsia="zh-CN" w:bidi="ar-SA"/>
              </w:rPr>
              <w:t>Solid Design三维工业自动化设计软件</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Solid Design三维工业自动化设计软件是工业级正版三维一体化设计软件，拥有软件著作权，面向工业和教育等多个领域，基于强大的智能参数建模技术，Solid Design让复杂设计过程简单化，快速重用历史数据及设计变更。从概念设计到产品制造，提供真正的3D模型设计、先进的钣金设计、完整的2D+3D一体化设计等全面效率工具，同时在一个软件上集成了PLC 3D仿真功能、电机仿真功能，同时也突出在工业自动化集成领域三维设计功能，该软件具有入门容易，兼容全面，软硬结合、易学易用等优势，已经成功应用于机械、电子、航空、汽车、仪器仪表、模具、造船、消费品等行业，同时也非常适用于院校相关课程的教学。为了增强实训效果及确保软件产品的性能可靠性，投标时要提供省级及以上部门出具的软件测评报告及软件产品评估证书。</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1）强大的兼容性和扩展性：支持UG、solidedge、Pro/e、SOLIDWORKS、inverntor主流3D原生和通用文件的导入，支持与Solidedge商业版软件文件格式的互通，并可对数据进行直接编辑进行设计变更。可导出各环节所需的3D及2D数据，支持与主流的PLM/PDM系统的集成，3D数据应用于产品全生命周期。</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2）智能参数建模技术：智能参数建模技术可更快、更轻松地创建和编辑3D模型。完美融合直接建模的速度和简便性、及参数化设计的灵活性和可控性。还可像处理本机文件一样处理多CAD数据，无缝衔接整个生态链。</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3）支持百万级零件的大型装配体：轻松地创建和管理超大型装配，能够快速检测并修复零部件之间的冲突和干扰问题、生成装配说明。百万级零件装配体流畅操作，软件性能不受任何影响，无需高昂的硬件设备投入从而降低企业成本。</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（4）直观的用户界面和主流的操作习惯：基于Windows操作环境开发，高效的人机交互界面设计，与国际主流3D软件一致的操作习惯；融合国内用户的设计需求，更贴合用户，快速上手，保障工作的延续性。</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（5）完整的2D+3D一体化：基于3D模型快速生成符合国标的2D工程图，快速完善图纸信息；3D数据的变更直接关联到工程图，数据无误更高效；数据无缝导出至AutoCAD进一步应用，从设计到制造的业务流程，Solid Design软件提供2D+3D一体化解决方案。</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（6）集成PLC 3D仿真功能：软件中构建了3D虚拟环境，实现自动封盖、自动装箱、温度压力控制、码垛堆积、加工中心刀库、电镀生产线、多种液体混合、自动混合生产线、水塔水位控制、机械手控制、机器人自动扫雷等二十五个实训项目，全面展现各种复杂的工艺流程。支持利用采集卡采集PLC的输入输出信号，实现PLC与计算机的通讯，从而控制软件中的3D模型的动作，使得虚拟仿真技术实时展现PLC 的运行状态，也使得学生非常容易理解对每一种控制单元的工作过程和原理。</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7）集成电机仿真功能：Windows系列操作系统下运行；通信协议：TCP/IP协议；开发语言：C++；支持离线仿真；以状态方程形式对电机建模，支持自定义电机，并包含不少于20台直流电机和20台异步电机型号供用户选择；实验项目：直流电机（结构展示、拆卸演示、装配演示、模拟装配、零部件展示、机械特性实验、启动实验、调速实验、制动实验）；异步电机（结构展示、拆卸演示、装配演示、模拟装配、零部件展示、机械特性实验、启动实验、调速实验、制动实验）；可以演示异步电机在启动过程中，定子与转子电流的瞬时变化，以及由它们建立的两个旋转磁势变化；可以演示出异步电机对称运行时的圆形磁场。实验对比：提供同类型电机，多项实验数据多维实验。支持同步建模无需刻意去创建草图，系统会自动捕捉草图平面。整个操作过程，可以在全三维环境下完成，也可以切换到二维平面视图；能够基于无历史树的特征，根据几何规则就能编辑修改模型，即使用变量化方式进行产品设计。</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（8）功能特点</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1）装配体设计：支持自底向上或自顶向下的装配体建模方式，可快速检测修复零部件之间的冲突问题，直观的装配体还可用于实时的方案沟通。</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2）工程图创建：根据3D模型自动创建并更新工程图，快速创建标准视图和派生视图，提供尺寸控制和添加注释等工具，可以快速创建包含全部细节的工程图。</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3）钣金设计及优化：除了基本的折弯和冲孔，还具有特定于钣金的特征，比如浮凸、浅凹、绘图切割、焊珠、轮廓弯边、直弯和蚀刻。还可用于分析、NC编程等集成应用。</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4）曲面设计及评估：Solid Design可创建高品质的曲面，并可通过精确的参数控制从而获得理想的曲率，通过条纹等工具实时评估曲面效果。</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5）结构仿真分析：Solid Design内置的有限元分析 (FEA) 工具，设计工程师可以在3D环境中通过数字方式验证零件设计，缩短产品开发周期。</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6）动画和运动仿真：不仅是基础的运动动画，Solid Design可对模型输入运动参数，以获得运动过程中各状态的受力情况。也可通过结果倒推出所需的输入力或者功率。</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7）MBD基于模型的定义：数字化沟通加快从设计到制造的过程。在3D模型中直接赋予产品制造信息，生成易于传播的3D PDF ，通过直观的可交互文档查看制造数据。</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b/>
                <w:bCs/>
                <w:kern w:val="0"/>
                <w:sz w:val="21"/>
                <w:szCs w:val="21"/>
                <w:lang w:val="en-US" w:eastAsia="zh-CN" w:bidi="ar-SA"/>
              </w:rPr>
            </w:pPr>
            <w:r>
              <w:rPr>
                <w:rFonts w:hint="eastAsia" w:ascii="宋体" w:hAnsi="宋体" w:eastAsia="宋体" w:cs="宋体"/>
                <w:b/>
                <w:bCs/>
                <w:kern w:val="0"/>
                <w:sz w:val="21"/>
                <w:szCs w:val="21"/>
                <w:lang w:val="en-US" w:eastAsia="zh-CN" w:bidi="ar-SA"/>
              </w:rPr>
              <w:t>4.7.6 机电综合数字孪生仿真系统</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机电综合数字孪生仿真系统是一套综合性的实训仿真系统，该系统通过采用数字孪生技术，将真实机电系统按1:1开发构建出虚拟机电系统，并与真实或虚拟的工业自动化控制系统之间的数据进行映射关联、实时交换，构成数字孪生仿真系统，能实现半实物虚拟调试和纯虚拟的虚拟调试。该系统在工业领域应用，在产品设计的初级概念阶段就可以对整个系统进行分析，包括虚拟调试、风险评估，方案改进，降低项目技术风险；在教育领域应用，通过对象虚拟化，解决了工程训练成本高，场景少的问题，可用于大学生竞赛，开放性实验，毕业设计等。</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1基础功能</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1）支持设备库功能，可从设备库中导入不同品牌的机器人、工件、工装夹具、附加轴（导轨、变位机、龙门架等）及其它相关工作单元（地板、安全围栏、控制柜等）。</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2）支持真实设备的虚拟化建模功能，如气缸组件建模，卡爪组件建模，传送带组件建模等。</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3）支持虚拟传感器建模与仿真，支持距离传感器，磁性开关传感器等传感器建模，并且虚拟传感器的信号可以发送到PLC控制器。</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4）支持机器人插补算法，包括直线、圆弧、关节等几种基本的插补算法。</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5）支持机器人的后置输出功能，包含ABB，KUKA，Motoman、KeBa、固高和Effort等品牌机器人控制器。</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6）支持将仿真结果导出为可以由微信小程序以及网页展示的文件，可以开发并接入客户的微信小程序系统。</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7）支持虚拟场景对接物联网平台，通过将运动控制器、PLC采集的数据发送到虚拟场景实现远程调试,支持中国电信CtWing、thingsboard等数据平台。</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8）支持多种PLC协议协议，如倍福，三菱，汇川，西门子，OPC-UA等控制器协议，可根据客户需求定制其它品牌的PLC协议。</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9）支持多种品牌机器人通信协议，如ABB、需要智能、三菱、Keba、Fanuc、UR等品牌机器人控制器协议，可根据客户需求定制其它品牌机器人协议。</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10）支持多种数据格式的输入，如网格数据格式stl、obj、ply；实体造型数据格式step、iges；路径数据格式csv、svg。</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11）支持Python脚本编程，提供Python api接口定义。</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12）支持工作站布局规划功能，对导入工作单元的设备进行位置布局、修改运行参数等。</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2路径规划</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1）支持3D打印切片，并导出G代码，支持G代码仿真，并转换成机器人程序。</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2）支持字体编辑，并导出G代码，支持G代码仿真，并转换成机器人程序。</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3）支持图片轮廓识别，并导出G代码，支持G代码仿真，并转换成机器人程序。</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3虚拟监控</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软件场景中的虚拟设备是基于真实设备的三维模型构建的，软件通过通信客户端采集真实设备控制器中的数据，并映射到虚拟设备中，实现虚实联动，用于展示和培训。</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4虚拟调试</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1）支持半实物虚拟调试功能，将真实运动控制器和PLC的数据映射到虚拟场景中，利用虚拟场景对运动控制器和PLC进行编程与调试，程序运行结果通过虚拟场景展示出来。</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2）支持纯虚拟调试功能，仿真系统可以与三菱GX Works3、西门子博图等编程软件直接连接进行数据交互，并通过虚拟PLC控制虚拟场景中的设备运行。</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5虚拟场景</w:t>
            </w:r>
          </w:p>
          <w:p>
            <w:pPr>
              <w:pStyle w:val="12"/>
              <w:keepNext w:val="0"/>
              <w:keepLines w:val="0"/>
              <w:widowControl/>
              <w:suppressLineNumbers w:val="0"/>
              <w:spacing w:before="0" w:beforeAutospacing="0" w:after="100" w:afterAutospacing="0" w:line="190" w:lineRule="atLeast"/>
              <w:ind w:left="0" w:right="0" w:firstLine="320"/>
              <w:rPr>
                <w:rFonts w:hint="default"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系统中内置了一套模拟颗粒药品柔性填装自动生产线，产线包含颗粒上料单元、加盖拧盖单元、检测分拣单元、工业机器人搬运单元、智能仓储单元等，通过虚拟控制器或实际控制器的控制，可实现空瓶上料、颗粒物料上料、物料分拣、颗粒填装、加盖、拧盖、物料检测、瓶盖检测、成品分拣、机器人抓取入盒、盒盖包装、贴标、入库等智能生产全过程。</w:t>
            </w:r>
          </w:p>
          <w:p>
            <w:pPr>
              <w:pStyle w:val="2"/>
              <w:jc w:val="both"/>
              <w:rPr>
                <w:rFonts w:hint="eastAsia" w:ascii="宋体" w:hAnsi="宋体" w:eastAsia="宋体" w:cs="宋体"/>
                <w:b/>
                <w:i w:val="0"/>
                <w:kern w:val="0"/>
                <w:sz w:val="21"/>
                <w:szCs w:val="21"/>
                <w:lang w:val="zh-CN" w:eastAsia="zh-CN" w:bidi="ar-SA"/>
              </w:rPr>
            </w:pPr>
            <w:r>
              <w:rPr>
                <w:rFonts w:hint="eastAsia" w:ascii="宋体" w:hAnsi="宋体" w:cs="宋体"/>
                <w:b/>
                <w:i w:val="0"/>
                <w:kern w:val="0"/>
                <w:sz w:val="21"/>
                <w:szCs w:val="21"/>
                <w:lang w:val="en-US" w:eastAsia="zh-CN" w:bidi="ar-SA"/>
              </w:rPr>
              <w:t>4</w:t>
            </w:r>
            <w:r>
              <w:rPr>
                <w:rFonts w:hint="eastAsia" w:ascii="宋体" w:hAnsi="宋体" w:eastAsia="宋体" w:cs="宋体"/>
                <w:b/>
                <w:i w:val="0"/>
                <w:kern w:val="0"/>
                <w:sz w:val="21"/>
                <w:szCs w:val="21"/>
                <w:lang w:val="zh-CN" w:eastAsia="zh-CN" w:bidi="ar-SA"/>
              </w:rPr>
              <w:t>.</w:t>
            </w:r>
            <w:r>
              <w:rPr>
                <w:rFonts w:hint="eastAsia" w:ascii="宋体" w:hAnsi="宋体" w:eastAsia="宋体" w:cs="宋体"/>
                <w:b/>
                <w:i w:val="0"/>
                <w:kern w:val="0"/>
                <w:sz w:val="21"/>
                <w:szCs w:val="21"/>
                <w:lang w:val="en-US" w:eastAsia="zh-CN" w:bidi="ar-SA"/>
              </w:rPr>
              <w:t>8</w:t>
            </w:r>
            <w:r>
              <w:rPr>
                <w:rFonts w:hint="eastAsia" w:ascii="宋体" w:hAnsi="宋体" w:eastAsia="宋体" w:cs="宋体"/>
                <w:b/>
                <w:i w:val="0"/>
                <w:kern w:val="0"/>
                <w:sz w:val="21"/>
                <w:szCs w:val="21"/>
                <w:lang w:val="zh-CN" w:eastAsia="zh-CN" w:bidi="ar-SA"/>
              </w:rPr>
              <w:t xml:space="preserve"> I/O综合调试仪</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采用≥7寸电容式触摸屏进行人机交互，带16路输出16路输入，用于设备调试时，手动测试模块上的传感器、电机和电磁阀等器件的动作及对应的I/O点的顺序，要求如下；整体尺寸≥290mm*234mm，外壳采用ABS塑料生产，颜色工业灰，表面喷胶处理，配备皮质手柄。顶部标配有电源开关和急停按钮。触摸屏尺寸为7寸，分辨率1024×600，颜色65K色，可视尺寸154mm×85mm，电容触摸形式。配24v电源输出口同时配4路0-30v检测口（配公共com端口一个），可以作为0-30v直流电压表使用。</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要求能够与颗粒上料单元、加盖拧盖单元、检测分拣单元、工业机器人搬运单元、智能仓储单元完全配套使用。投标时提供承诺函。</w:t>
            </w: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p>
          <w:p>
            <w:pPr>
              <w:pStyle w:val="12"/>
              <w:keepNext w:val="0"/>
              <w:keepLines w:val="0"/>
              <w:widowControl/>
              <w:suppressLineNumbers w:val="0"/>
              <w:spacing w:before="0" w:beforeAutospacing="0" w:after="100" w:afterAutospacing="0" w:line="190" w:lineRule="atLeast"/>
              <w:ind w:left="0" w:right="0" w:firstLine="320"/>
              <w:rPr>
                <w:rFonts w:hint="eastAsia" w:ascii="宋体" w:hAnsi="宋体" w:eastAsia="宋体" w:cs="宋体"/>
                <w:kern w:val="0"/>
                <w:sz w:val="21"/>
                <w:szCs w:val="21"/>
                <w:lang w:val="zh-CN" w:eastAsia="zh-CN" w:bidi="ar-SA"/>
              </w:rPr>
            </w:pPr>
          </w:p>
          <w:p>
            <w:pPr>
              <w:keepNext w:val="0"/>
              <w:keepLines w:val="0"/>
              <w:pageBreakBefore w:val="0"/>
              <w:widowControl w:val="0"/>
              <w:numPr>
                <w:ilvl w:val="0"/>
                <w:numId w:val="3"/>
              </w:numPr>
              <w:kinsoku/>
              <w:wordWrap/>
              <w:overflowPunct/>
              <w:topLinePunct w:val="0"/>
              <w:autoSpaceDE/>
              <w:autoSpaceDN/>
              <w:bidi w:val="0"/>
              <w:adjustRightInd/>
              <w:snapToGrid/>
              <w:spacing w:before="167" w:beforeLines="50" w:after="167" w:afterLines="50" w:line="231" w:lineRule="exact"/>
              <w:ind w:right="0"/>
              <w:jc w:val="left"/>
              <w:textAlignment w:val="auto"/>
              <w:rPr>
                <w:rFonts w:hint="eastAsia" w:ascii="宋体" w:hAnsi="宋体" w:cs="宋体" w:eastAsiaTheme="minorEastAsia"/>
                <w:b/>
                <w:bCs/>
                <w:color w:val="000000"/>
                <w:spacing w:val="-6"/>
                <w:sz w:val="24"/>
                <w:szCs w:val="24"/>
                <w:lang w:val="en-US" w:eastAsia="en-US" w:bidi="ar-SA"/>
              </w:rPr>
            </w:pPr>
            <w:r>
              <w:rPr>
                <w:rFonts w:hint="eastAsia" w:ascii="宋体" w:hAnsi="宋体" w:cs="宋体" w:eastAsiaTheme="minorEastAsia"/>
                <w:b/>
                <w:bCs/>
                <w:color w:val="000000"/>
                <w:spacing w:val="-6"/>
                <w:sz w:val="24"/>
                <w:szCs w:val="24"/>
                <w:lang w:val="en-US" w:eastAsia="en-US" w:bidi="ar-SA"/>
              </w:rPr>
              <w:t>设备配置清单</w:t>
            </w:r>
          </w:p>
          <w:tbl>
            <w:tblPr>
              <w:tblStyle w:val="14"/>
              <w:tblW w:w="7528" w:type="dxa"/>
              <w:tblInd w:w="-1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1"/>
              <w:gridCol w:w="1236"/>
              <w:gridCol w:w="3528"/>
              <w:gridCol w:w="708"/>
              <w:gridCol w:w="684"/>
              <w:gridCol w:w="7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器件名称</w:t>
                  </w:r>
                </w:p>
              </w:tc>
              <w:tc>
                <w:tcPr>
                  <w:tcW w:w="3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参数</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数量</w:t>
                  </w: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80"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颗粒上料单元</w:t>
                  </w:r>
                </w:p>
              </w:tc>
              <w:tc>
                <w:tcPr>
                  <w:tcW w:w="3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尺寸约：800mm×1040mm×1300mm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PLC：FX5U-64MR/ES或</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H3U-3232MR        1个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变频器：FR-D720S-0.4K  1台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触摸屏 TPC7062Ti       1台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传感器：光电/光纤      6个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气缸：单杆/双杆        6个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电磁阀：DC24V单电控    6个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15针端子接口板         3个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37针端子接口板         1个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直流电机控制板         3个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圆盘输送机构模块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上料输送机构模块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主输送机构模块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颗粒上料机构模块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颗粒装填机构模块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按钮操作面板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控制挂板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工作实训台             1个</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60"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加盖拧盖单元</w:t>
                  </w:r>
                </w:p>
              </w:tc>
              <w:tc>
                <w:tcPr>
                  <w:tcW w:w="3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尺寸约：800mm×1040mm×1100m；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PLC：三菱 FX5U-32MR或</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H3U-1616MR      1个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触摸屏 TPC7062Ti     1台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传感器：光纤/光电    3个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气缸：单杆/双杆      6个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电磁阀：DC24V单电控  7个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15针端子接口板       3个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37针端子接口板       1个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直流电机控制板       2个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加盖机构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拧盖机构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定位机构             2套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输送带机构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按钮操作面板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控制挂板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工作实训台           1套</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60"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检测分拣单元</w:t>
                  </w:r>
                </w:p>
              </w:tc>
              <w:tc>
                <w:tcPr>
                  <w:tcW w:w="3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尺寸约：800mm×1040mm×1250mm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PLC：FX5U-64MR/ES或</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H3U-3232MR      1个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触摸屏 TPC7062Ti     1台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传感器：光电/光纤   12个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气缸：单杆           4个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电磁阀：DC24V单电控  4个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15针端子接口板       3个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cs="宋体"/>
                      <w:i w:val="0"/>
                      <w:iCs w:val="0"/>
                      <w:color w:val="000000"/>
                      <w:kern w:val="0"/>
                      <w:sz w:val="22"/>
                      <w:szCs w:val="22"/>
                      <w:u w:val="none"/>
                      <w:lang w:val="en-US" w:eastAsia="zh-CN" w:bidi="ar"/>
                    </w:rPr>
                    <w:t>3</w:t>
                  </w:r>
                  <w:r>
                    <w:rPr>
                      <w:rFonts w:hint="eastAsia" w:ascii="宋体" w:hAnsi="宋体" w:eastAsia="宋体" w:cs="宋体"/>
                      <w:i w:val="0"/>
                      <w:iCs w:val="0"/>
                      <w:color w:val="000000"/>
                      <w:kern w:val="0"/>
                      <w:sz w:val="22"/>
                      <w:szCs w:val="22"/>
                      <w:u w:val="none"/>
                      <w:lang w:val="en-US" w:eastAsia="zh-CN" w:bidi="ar"/>
                    </w:rPr>
                    <w:t>7针端子接口板       1个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直流电机控制板       2个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检测机构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分拣机构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输送带机构           2条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RFID机构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视觉检测机构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按钮操作面板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控制挂板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工作实训台           1套</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工业机器人搬运单元</w:t>
                  </w:r>
                </w:p>
              </w:tc>
              <w:tc>
                <w:tcPr>
                  <w:tcW w:w="3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尺寸约：800mm×1040mm×1700mm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六轴机械臂：RV-2FR或</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IRB120或 IRB300-3-60TS5 </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1台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机械臂控制器：CR800-D或</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IRC5Compact或IRCB300-B-FF</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PLC：FX5U-64MT/ES或</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H3U-3232MT         </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1个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触摸屏：TPC7062Ti         1个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传感器：光电/磁性        11个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限位开关：微动          </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4个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气缸：单杆/双杆           4个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电磁阀：DC24V单电控  </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 xml:space="preserve">  </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7个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数位显示气压开关        </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2个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电机</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步进电机YK42XQ47-02A 2个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行星减速器：HPE42-L1(A)-S2-92</w:t>
                  </w:r>
                  <w:r>
                    <w:rPr>
                      <w:rFonts w:hint="eastAsia" w:ascii="宋体" w:hAnsi="宋体" w:cs="宋体"/>
                      <w:i w:val="0"/>
                      <w:iCs w:val="0"/>
                      <w:color w:val="000000"/>
                      <w:kern w:val="0"/>
                      <w:sz w:val="22"/>
                      <w:szCs w:val="22"/>
                      <w:u w:val="none"/>
                      <w:lang w:val="en-US" w:eastAsia="zh-CN" w:bidi="ar"/>
                    </w:rPr>
                    <w:t xml:space="preserve"> </w:t>
                  </w:r>
                </w:p>
                <w:p>
                  <w:pPr>
                    <w:keepNext w:val="0"/>
                    <w:keepLines w:val="0"/>
                    <w:widowControl/>
                    <w:suppressLineNumbers w:val="0"/>
                    <w:ind w:firstLine="2860" w:firstLineChars="130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步进电机驱动器：YKD2305M  2个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15针端子接口板        </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3个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37针端子接口板         </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2个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料盒升降机构          </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 xml:space="preserve">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料盖升降机构          </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 xml:space="preserve">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装配台                </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 xml:space="preserve">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定位/挡料机构         </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 xml:space="preserve">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标签存储台            </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 xml:space="preserve">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按钮操作面板         </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 xml:space="preserve">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控制挂板              </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工作实训台           </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 xml:space="preserve"> 1套</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9"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智能仓储单元</w:t>
                  </w:r>
                </w:p>
              </w:tc>
              <w:tc>
                <w:tcPr>
                  <w:tcW w:w="3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尺寸约：800mm×1040mm×1600mm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PLC：FX5U-64MT/ES或</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H3U-3232MT          1个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IO模块：FX5U-8EX/ES或</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GL10-1600END             1个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触摸屏：TPC7062Ti        1个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伺服驱动器：MR-JE-10A    2个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伺服电机：HF-KN-13J-S100 2个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步进驱动器：3DM580S      1个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步进电机：573J09         1个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传感器：光电            18个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限位开光：微动           4个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编码器：增量             1个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气缸：单杆/双杆          1个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电磁阀：DC24V单电控      2个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15针端子接口板           4个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37针端子接口板           2个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仓库机构                 2个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堆垛移动机构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堆垛旋转机构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堆垛升降机构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堆垛插取机构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按钮操作面板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控制挂板                 1套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工作实训台               1套</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8"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电脑桌</w:t>
                  </w:r>
                </w:p>
              </w:tc>
              <w:tc>
                <w:tcPr>
                  <w:tcW w:w="3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kern w:val="0"/>
                      <w:sz w:val="21"/>
                      <w:szCs w:val="21"/>
                      <w:lang w:val="zh-CN"/>
                    </w:rPr>
                    <w:t>外形尺寸(长×宽×高)：563mm×600mm×1067mm±20mm。主框架采用≥30×30优质欧式铝合金型材，嵌装饰卡条，坚固耐用，安装方便。桌面采用≥27mm厚的高密度复合板材，表面和边缘高温热压防火PVC，安全环保。桌面板后面带防护隔板，防止电脑显示器掉落。电脑桌配键盘抽屉，采用三节静音导轨，坚固可靠，推拉顺畅。电脑桌配四只≥1.5寸带刹车万向脚轮，移动方便。为了确保质量及环保要求，投标时提供省级及以上第三方检测机构出具的检测(验)报告，检测内容包括但不限于金属喷漆(塑)涂层冲击强度（冲击高度400mm），木制件表面贴面层耐污染性能（丙酮试验时间16h）≥3级，人造板件封边条表面胶合强度≥0.4MPa）。</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装配工作台</w:t>
                  </w:r>
                </w:p>
              </w:tc>
              <w:tc>
                <w:tcPr>
                  <w:tcW w:w="3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由台身和台面、和工具柜三大部分组成，尺寸 1200mm×750mm×800mm,带 2层抽屉。</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产品配件包</w:t>
                  </w:r>
                </w:p>
              </w:tc>
              <w:tc>
                <w:tcPr>
                  <w:tcW w:w="3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下载线</w:t>
                  </w:r>
                </w:p>
              </w:tc>
              <w:tc>
                <w:tcPr>
                  <w:tcW w:w="3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与机器人、触摸屏配套</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排插</w:t>
                  </w:r>
                </w:p>
              </w:tc>
              <w:tc>
                <w:tcPr>
                  <w:tcW w:w="3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并口通讯线</w:t>
                  </w:r>
                </w:p>
              </w:tc>
              <w:tc>
                <w:tcPr>
                  <w:tcW w:w="3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内螺纹直通</w:t>
                  </w:r>
                </w:p>
              </w:tc>
              <w:tc>
                <w:tcPr>
                  <w:tcW w:w="3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颗粒圆瓶身</w:t>
                  </w:r>
                </w:p>
              </w:tc>
              <w:tc>
                <w:tcPr>
                  <w:tcW w:w="3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亚克力透明</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A瓶盖</w:t>
                  </w:r>
                </w:p>
              </w:tc>
              <w:tc>
                <w:tcPr>
                  <w:tcW w:w="3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B瓶盖</w:t>
                  </w:r>
                </w:p>
              </w:tc>
              <w:tc>
                <w:tcPr>
                  <w:tcW w:w="3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蓝色物料块</w:t>
                  </w:r>
                </w:p>
              </w:tc>
              <w:tc>
                <w:tcPr>
                  <w:tcW w:w="3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白色物料块</w:t>
                  </w:r>
                </w:p>
              </w:tc>
              <w:tc>
                <w:tcPr>
                  <w:tcW w:w="3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空气压缩机</w:t>
                  </w:r>
                </w:p>
              </w:tc>
              <w:tc>
                <w:tcPr>
                  <w:tcW w:w="3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设备使用说明书</w:t>
                  </w:r>
                </w:p>
              </w:tc>
              <w:tc>
                <w:tcPr>
                  <w:tcW w:w="3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与设备配套</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发货光盘</w:t>
                  </w:r>
                </w:p>
              </w:tc>
              <w:tc>
                <w:tcPr>
                  <w:tcW w:w="3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与设备配套</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物料盒盖组件</w:t>
                  </w:r>
                </w:p>
              </w:tc>
              <w:tc>
                <w:tcPr>
                  <w:tcW w:w="3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110mm*110mm*52mm</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白色标签片组件</w:t>
                  </w:r>
                </w:p>
              </w:tc>
              <w:tc>
                <w:tcPr>
                  <w:tcW w:w="3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蓝色标签片组件</w:t>
                  </w:r>
                </w:p>
              </w:tc>
              <w:tc>
                <w:tcPr>
                  <w:tcW w:w="3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Chars="0"/>
                    <w:jc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16)</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abs>
                      <w:tab w:val="right" w:pos="3780"/>
                    </w:tabs>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sz w:val="21"/>
                      <w:szCs w:val="21"/>
                      <w:highlight w:val="none"/>
                      <w:lang w:val="en-US" w:eastAsia="zh-CN"/>
                    </w:rPr>
                    <w:t>控制器</w:t>
                  </w:r>
                </w:p>
              </w:tc>
              <w:tc>
                <w:tcPr>
                  <w:tcW w:w="3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r>
                    <w:rPr>
                      <w:rFonts w:hint="eastAsia" w:ascii="宋体" w:hAnsi="宋体" w:eastAsia="宋体" w:cs="宋体"/>
                      <w:sz w:val="21"/>
                      <w:szCs w:val="21"/>
                      <w:highlight w:val="none"/>
                    </w:rPr>
                    <w:t>I5-10400/8G内存/1TB硬盘/20寸</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sz w:val="21"/>
                      <w:szCs w:val="21"/>
                      <w:highlight w:val="none"/>
                      <w:lang w:val="en-US" w:eastAsia="zh-CN"/>
                    </w:rPr>
                    <w:t>台</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sz w:val="21"/>
                      <w:szCs w:val="21"/>
                      <w:highlight w:val="none"/>
                      <w:lang w:val="en-US" w:eastAsia="zh-CN"/>
                    </w:rPr>
                    <w:t>1</w:t>
                  </w: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bl>
          <w:p>
            <w:pPr>
              <w:spacing w:before="333" w:after="0" w:line="250" w:lineRule="exact"/>
              <w:ind w:left="0" w:right="0" w:firstLine="0"/>
              <w:jc w:val="left"/>
              <w:rPr>
                <w:rFonts w:hAnsi="Calibri"/>
                <w:b/>
                <w:bCs/>
                <w:color w:val="000000"/>
                <w:szCs w:val="22"/>
                <w:lang w:val="en-US" w:eastAsia="en-US" w:bidi="ar-SA"/>
              </w:rPr>
            </w:pPr>
            <w:r>
              <w:rPr>
                <w:rFonts w:ascii="宋体" w:hAnsi="宋体" w:cs="宋体" w:eastAsiaTheme="minorEastAsia"/>
                <w:b/>
                <w:bCs/>
                <w:color w:val="000000"/>
                <w:spacing w:val="1"/>
                <w:szCs w:val="22"/>
                <w:lang w:val="en-US" w:eastAsia="en-US" w:bidi="ar-SA"/>
              </w:rPr>
              <w:t>六、设备实训</w:t>
            </w:r>
          </w:p>
          <w:p>
            <w:pPr>
              <w:keepNext w:val="0"/>
              <w:keepLines w:val="0"/>
              <w:pageBreakBefore w:val="0"/>
              <w:widowControl w:val="0"/>
              <w:kinsoku/>
              <w:wordWrap/>
              <w:overflowPunct/>
              <w:topLinePunct w:val="0"/>
              <w:autoSpaceDE/>
              <w:autoSpaceDN/>
              <w:bidi w:val="0"/>
              <w:adjustRightInd/>
              <w:snapToGrid/>
              <w:spacing w:before="167" w:beforeLines="50" w:after="0" w:line="231" w:lineRule="exact"/>
              <w:ind w:left="420" w:right="0" w:firstLine="0"/>
              <w:jc w:val="left"/>
              <w:textAlignment w:val="auto"/>
              <w:rPr>
                <w:rFonts w:hAnsi="Calibri"/>
                <w:color w:val="000000"/>
                <w:sz w:val="21"/>
                <w:szCs w:val="22"/>
                <w:lang w:val="en-US" w:eastAsia="en-US" w:bidi="ar-SA"/>
              </w:rPr>
            </w:pPr>
            <w:r>
              <w:rPr>
                <w:rFonts w:ascii="宋体" w:hAnsi="Calibri" w:eastAsiaTheme="minorEastAsia" w:cstheme="minorBidi"/>
                <w:color w:val="000000"/>
                <w:sz w:val="22"/>
                <w:szCs w:val="22"/>
                <w:lang w:val="en-US" w:eastAsia="en-US" w:bidi="ar-SA"/>
              </w:rPr>
              <w:t>1.</w:t>
            </w:r>
            <w:r>
              <w:rPr>
                <w:rFonts w:ascii="宋体" w:hAnsi="宋体" w:cs="宋体" w:eastAsiaTheme="minorEastAsia"/>
                <w:color w:val="000000"/>
                <w:sz w:val="21"/>
                <w:szCs w:val="22"/>
                <w:lang w:val="en-US" w:eastAsia="en-US" w:bidi="ar-SA"/>
              </w:rPr>
              <w:t>电气线路的连接；</w:t>
            </w:r>
          </w:p>
          <w:p>
            <w:pPr>
              <w:spacing w:before="88" w:after="0" w:line="231" w:lineRule="exact"/>
              <w:ind w:left="420" w:right="0" w:firstLine="0"/>
              <w:jc w:val="left"/>
              <w:rPr>
                <w:rFonts w:hAnsi="Calibri"/>
                <w:color w:val="000000"/>
                <w:sz w:val="21"/>
                <w:szCs w:val="22"/>
                <w:lang w:val="en-US" w:eastAsia="en-US" w:bidi="ar-SA"/>
              </w:rPr>
            </w:pPr>
            <w:r>
              <w:rPr>
                <w:rFonts w:ascii="宋体" w:hAnsi="Calibri" w:eastAsiaTheme="minorEastAsia" w:cstheme="minorBidi"/>
                <w:color w:val="000000"/>
                <w:sz w:val="22"/>
                <w:szCs w:val="22"/>
                <w:lang w:val="en-US" w:eastAsia="en-US" w:bidi="ar-SA"/>
              </w:rPr>
              <w:t>2.</w:t>
            </w:r>
            <w:r>
              <w:rPr>
                <w:rFonts w:ascii="宋体" w:hAnsi="宋体" w:cs="宋体" w:eastAsiaTheme="minorEastAsia"/>
                <w:color w:val="000000"/>
                <w:sz w:val="21"/>
                <w:szCs w:val="22"/>
                <w:lang w:val="en-US" w:eastAsia="en-US" w:bidi="ar-SA"/>
              </w:rPr>
              <w:t>电气元件的布局与组装；</w:t>
            </w:r>
          </w:p>
          <w:p>
            <w:pPr>
              <w:spacing w:before="88" w:after="0" w:line="231" w:lineRule="exact"/>
              <w:ind w:left="420" w:right="0" w:firstLine="0"/>
              <w:jc w:val="left"/>
              <w:rPr>
                <w:rFonts w:hAnsi="Calibri"/>
                <w:color w:val="000000"/>
                <w:sz w:val="21"/>
                <w:szCs w:val="22"/>
                <w:lang w:val="en-US" w:eastAsia="en-US" w:bidi="ar-SA"/>
              </w:rPr>
            </w:pPr>
            <w:r>
              <w:rPr>
                <w:rFonts w:ascii="宋体" w:hAnsi="Calibri" w:eastAsiaTheme="minorEastAsia" w:cstheme="minorBidi"/>
                <w:color w:val="000000"/>
                <w:sz w:val="22"/>
                <w:szCs w:val="22"/>
                <w:lang w:val="en-US" w:eastAsia="en-US" w:bidi="ar-SA"/>
              </w:rPr>
              <w:t>3.</w:t>
            </w:r>
            <w:r>
              <w:rPr>
                <w:rFonts w:ascii="宋体" w:hAnsi="宋体" w:cs="宋体" w:eastAsiaTheme="minorEastAsia"/>
                <w:color w:val="000000"/>
                <w:sz w:val="21"/>
                <w:szCs w:val="22"/>
                <w:lang w:val="en-US" w:eastAsia="en-US" w:bidi="ar-SA"/>
              </w:rPr>
              <w:t>系统的设计；</w:t>
            </w:r>
          </w:p>
          <w:p>
            <w:pPr>
              <w:spacing w:before="91" w:after="0" w:line="231" w:lineRule="exact"/>
              <w:ind w:left="420" w:right="0" w:firstLine="0"/>
              <w:jc w:val="left"/>
              <w:rPr>
                <w:rFonts w:hAnsi="Calibri"/>
                <w:color w:val="000000"/>
                <w:sz w:val="21"/>
                <w:szCs w:val="22"/>
                <w:lang w:val="en-US" w:eastAsia="en-US" w:bidi="ar-SA"/>
              </w:rPr>
            </w:pPr>
            <w:r>
              <w:rPr>
                <w:rFonts w:ascii="宋体" w:hAnsi="Calibri" w:eastAsiaTheme="minorEastAsia" w:cstheme="minorBidi"/>
                <w:color w:val="000000"/>
                <w:sz w:val="22"/>
                <w:szCs w:val="22"/>
                <w:lang w:val="en-US" w:eastAsia="en-US" w:bidi="ar-SA"/>
              </w:rPr>
              <w:t>4.</w:t>
            </w:r>
            <w:r>
              <w:rPr>
                <w:rFonts w:ascii="宋体" w:hAnsi="宋体" w:cs="宋体" w:eastAsiaTheme="minorEastAsia"/>
                <w:color w:val="000000"/>
                <w:spacing w:val="1"/>
                <w:sz w:val="21"/>
                <w:szCs w:val="22"/>
                <w:lang w:val="en-US" w:eastAsia="en-US" w:bidi="ar-SA"/>
              </w:rPr>
              <w:t>通过</w:t>
            </w:r>
            <w:r>
              <w:rPr>
                <w:rFonts w:ascii="宋体" w:hAnsi="Calibri" w:eastAsiaTheme="minorEastAsia" w:cstheme="minorBidi"/>
                <w:color w:val="000000"/>
                <w:sz w:val="21"/>
                <w:szCs w:val="22"/>
                <w:lang w:val="en-US" w:eastAsia="en-US" w:bidi="ar-SA"/>
              </w:rPr>
              <w:t>PLC</w:t>
            </w:r>
            <w:r>
              <w:rPr>
                <w:rFonts w:ascii="宋体" w:hAnsi="宋体" w:cs="宋体" w:eastAsiaTheme="minorEastAsia"/>
                <w:color w:val="000000"/>
                <w:sz w:val="21"/>
                <w:szCs w:val="22"/>
                <w:lang w:val="en-US" w:eastAsia="en-US" w:bidi="ar-SA"/>
              </w:rPr>
              <w:t>编程对各控制单元的操作；</w:t>
            </w:r>
          </w:p>
          <w:p>
            <w:pPr>
              <w:spacing w:before="88" w:after="0" w:line="231" w:lineRule="exact"/>
              <w:ind w:left="420" w:right="0" w:firstLine="0"/>
              <w:jc w:val="left"/>
              <w:rPr>
                <w:rFonts w:hAnsi="Calibri"/>
                <w:color w:val="000000"/>
                <w:sz w:val="21"/>
                <w:szCs w:val="22"/>
                <w:lang w:val="en-US" w:eastAsia="en-US" w:bidi="ar-SA"/>
              </w:rPr>
            </w:pPr>
            <w:r>
              <w:rPr>
                <w:rFonts w:ascii="宋体" w:hAnsi="Calibri" w:eastAsiaTheme="minorEastAsia" w:cstheme="minorBidi"/>
                <w:color w:val="000000"/>
                <w:sz w:val="22"/>
                <w:szCs w:val="22"/>
                <w:lang w:val="en-US" w:eastAsia="en-US" w:bidi="ar-SA"/>
              </w:rPr>
              <w:t>5.</w:t>
            </w:r>
            <w:r>
              <w:rPr>
                <w:rFonts w:ascii="宋体" w:hAnsi="宋体" w:cs="宋体" w:eastAsiaTheme="minorEastAsia"/>
                <w:color w:val="000000"/>
                <w:sz w:val="21"/>
                <w:szCs w:val="22"/>
                <w:lang w:val="en-US" w:eastAsia="en-US" w:bidi="ar-SA"/>
              </w:rPr>
              <w:t>电气类部件及组件的安装；</w:t>
            </w:r>
          </w:p>
          <w:p>
            <w:pPr>
              <w:spacing w:before="88" w:after="0" w:line="231" w:lineRule="exact"/>
              <w:ind w:left="420" w:right="0" w:firstLine="0"/>
              <w:jc w:val="left"/>
              <w:rPr>
                <w:rFonts w:hAnsi="Calibri"/>
                <w:color w:val="000000"/>
                <w:sz w:val="21"/>
                <w:szCs w:val="22"/>
                <w:lang w:val="en-US" w:eastAsia="en-US" w:bidi="ar-SA"/>
              </w:rPr>
            </w:pPr>
            <w:r>
              <w:rPr>
                <w:rFonts w:ascii="宋体" w:hAnsi="Calibri" w:eastAsiaTheme="minorEastAsia" w:cstheme="minorBidi"/>
                <w:color w:val="000000"/>
                <w:sz w:val="22"/>
                <w:szCs w:val="22"/>
                <w:lang w:val="en-US" w:eastAsia="en-US" w:bidi="ar-SA"/>
              </w:rPr>
              <w:t>6.</w:t>
            </w:r>
            <w:r>
              <w:rPr>
                <w:rFonts w:ascii="宋体" w:hAnsi="宋体" w:cs="宋体" w:eastAsiaTheme="minorEastAsia"/>
                <w:color w:val="000000"/>
                <w:sz w:val="21"/>
                <w:szCs w:val="22"/>
                <w:lang w:val="en-US" w:eastAsia="en-US" w:bidi="ar-SA"/>
              </w:rPr>
              <w:t>气动类元件的安装；</w:t>
            </w:r>
          </w:p>
          <w:p>
            <w:pPr>
              <w:spacing w:before="91" w:after="0" w:line="231" w:lineRule="exact"/>
              <w:ind w:left="420" w:right="0" w:firstLine="0"/>
              <w:jc w:val="left"/>
              <w:rPr>
                <w:rFonts w:hAnsi="Calibri"/>
                <w:color w:val="000000"/>
                <w:sz w:val="21"/>
                <w:szCs w:val="22"/>
                <w:lang w:val="en-US" w:eastAsia="en-US" w:bidi="ar-SA"/>
              </w:rPr>
            </w:pPr>
            <w:r>
              <w:rPr>
                <w:rFonts w:ascii="宋体" w:hAnsi="Calibri" w:eastAsiaTheme="minorEastAsia" w:cstheme="minorBidi"/>
                <w:color w:val="000000"/>
                <w:sz w:val="22"/>
                <w:szCs w:val="22"/>
                <w:lang w:val="en-US" w:eastAsia="en-US" w:bidi="ar-SA"/>
              </w:rPr>
              <w:t>7.</w:t>
            </w:r>
            <w:r>
              <w:rPr>
                <w:rFonts w:ascii="宋体" w:hAnsi="宋体" w:cs="宋体" w:eastAsiaTheme="minorEastAsia"/>
                <w:color w:val="000000"/>
                <w:sz w:val="21"/>
                <w:szCs w:val="22"/>
                <w:lang w:val="en-US" w:eastAsia="en-US" w:bidi="ar-SA"/>
              </w:rPr>
              <w:t>机械零件的组装；</w:t>
            </w:r>
          </w:p>
          <w:p>
            <w:pPr>
              <w:spacing w:before="88" w:after="0" w:line="231" w:lineRule="exact"/>
              <w:ind w:left="420" w:right="0" w:firstLine="0"/>
              <w:jc w:val="left"/>
              <w:rPr>
                <w:rFonts w:hAnsi="Calibri"/>
                <w:color w:val="000000"/>
                <w:sz w:val="21"/>
                <w:szCs w:val="22"/>
                <w:lang w:val="en-US" w:eastAsia="en-US" w:bidi="ar-SA"/>
              </w:rPr>
            </w:pPr>
            <w:r>
              <w:rPr>
                <w:rFonts w:ascii="宋体" w:hAnsi="Calibri" w:eastAsiaTheme="minorEastAsia" w:cstheme="minorBidi"/>
                <w:color w:val="000000"/>
                <w:sz w:val="22"/>
                <w:szCs w:val="22"/>
                <w:lang w:val="en-US" w:eastAsia="en-US" w:bidi="ar-SA"/>
              </w:rPr>
              <w:t>8.</w:t>
            </w:r>
            <w:r>
              <w:rPr>
                <w:rFonts w:ascii="宋体" w:hAnsi="宋体" w:cs="宋体" w:eastAsiaTheme="minorEastAsia"/>
                <w:color w:val="000000"/>
                <w:sz w:val="21"/>
                <w:szCs w:val="22"/>
                <w:lang w:val="en-US" w:eastAsia="en-US" w:bidi="ar-SA"/>
              </w:rPr>
              <w:t>用气量统计与分析；</w:t>
            </w:r>
          </w:p>
          <w:p>
            <w:pPr>
              <w:spacing w:before="89" w:after="0" w:line="231" w:lineRule="exact"/>
              <w:ind w:left="420" w:right="0" w:firstLine="0"/>
              <w:jc w:val="left"/>
              <w:rPr>
                <w:rFonts w:hAnsi="Calibri"/>
                <w:color w:val="000000"/>
                <w:sz w:val="21"/>
                <w:szCs w:val="22"/>
                <w:lang w:val="en-US" w:eastAsia="en-US" w:bidi="ar-SA"/>
              </w:rPr>
            </w:pPr>
            <w:r>
              <w:rPr>
                <w:rFonts w:ascii="宋体" w:hAnsi="Calibri" w:eastAsiaTheme="minorEastAsia" w:cstheme="minorBidi"/>
                <w:color w:val="000000"/>
                <w:sz w:val="22"/>
                <w:szCs w:val="22"/>
                <w:lang w:val="en-US" w:eastAsia="en-US" w:bidi="ar-SA"/>
              </w:rPr>
              <w:t>9.</w:t>
            </w:r>
            <w:r>
              <w:rPr>
                <w:rFonts w:ascii="宋体" w:hAnsi="宋体" w:cs="宋体" w:eastAsiaTheme="minorEastAsia"/>
                <w:color w:val="000000"/>
                <w:sz w:val="21"/>
                <w:szCs w:val="22"/>
                <w:lang w:val="en-US" w:eastAsia="en-US" w:bidi="ar-SA"/>
              </w:rPr>
              <w:t>系统故障分析与处理；</w:t>
            </w:r>
          </w:p>
          <w:p>
            <w:pPr>
              <w:spacing w:before="264" w:after="0" w:line="250" w:lineRule="exact"/>
              <w:ind w:left="0" w:right="0" w:firstLine="0"/>
              <w:jc w:val="left"/>
              <w:rPr>
                <w:rFonts w:hAnsi="Calibri"/>
                <w:b/>
                <w:bCs/>
                <w:color w:val="000000"/>
                <w:szCs w:val="22"/>
                <w:lang w:val="en-US" w:eastAsia="en-US" w:bidi="ar-SA"/>
              </w:rPr>
            </w:pPr>
            <w:r>
              <w:rPr>
                <w:rFonts w:ascii="宋体" w:hAnsi="宋体" w:cs="宋体" w:eastAsiaTheme="minorEastAsia"/>
                <w:b/>
                <w:bCs/>
                <w:color w:val="000000"/>
                <w:spacing w:val="1"/>
                <w:szCs w:val="22"/>
                <w:lang w:val="en-US" w:eastAsia="en-US" w:bidi="ar-SA"/>
              </w:rPr>
              <w:t>七、实训项目</w:t>
            </w:r>
          </w:p>
          <w:p>
            <w:pPr>
              <w:spacing w:before="294" w:after="0" w:line="231" w:lineRule="exact"/>
              <w:ind w:left="420" w:right="0" w:firstLine="0"/>
              <w:jc w:val="left"/>
              <w:rPr>
                <w:rFonts w:hAnsi="Calibri"/>
                <w:color w:val="000000"/>
                <w:sz w:val="21"/>
                <w:szCs w:val="22"/>
                <w:lang w:val="en-US" w:eastAsia="en-US" w:bidi="ar-SA"/>
              </w:rPr>
            </w:pPr>
            <w:r>
              <w:rPr>
                <w:rFonts w:ascii="宋体" w:hAnsi="Calibri" w:eastAsiaTheme="minorEastAsia" w:cstheme="minorBidi"/>
                <w:color w:val="000000"/>
                <w:sz w:val="22"/>
                <w:szCs w:val="22"/>
                <w:lang w:val="en-US" w:eastAsia="en-US" w:bidi="ar-SA"/>
              </w:rPr>
              <w:t>1.</w:t>
            </w:r>
            <w:r>
              <w:rPr>
                <w:rFonts w:hint="eastAsia" w:ascii="宋体" w:eastAsiaTheme="minorEastAsia" w:cstheme="minorBidi"/>
                <w:color w:val="000000"/>
                <w:sz w:val="22"/>
                <w:szCs w:val="22"/>
                <w:lang w:val="en-US" w:eastAsia="zh-CN" w:bidi="ar-SA"/>
              </w:rPr>
              <w:t xml:space="preserve"> </w:t>
            </w:r>
            <w:r>
              <w:rPr>
                <w:rFonts w:ascii="宋体" w:hAnsi="宋体" w:cs="宋体" w:eastAsiaTheme="minorEastAsia"/>
                <w:color w:val="000000"/>
                <w:sz w:val="21"/>
                <w:szCs w:val="22"/>
                <w:lang w:val="en-US" w:eastAsia="en-US" w:bidi="ar-SA"/>
              </w:rPr>
              <w:t>上料检测单元操作实训</w:t>
            </w:r>
          </w:p>
          <w:p>
            <w:pPr>
              <w:spacing w:before="88" w:after="0" w:line="231" w:lineRule="exact"/>
              <w:ind w:left="420" w:right="0" w:firstLine="0"/>
              <w:jc w:val="left"/>
              <w:rPr>
                <w:rFonts w:hAnsi="Calibri"/>
                <w:color w:val="000000"/>
                <w:sz w:val="21"/>
                <w:szCs w:val="22"/>
                <w:lang w:val="en-US" w:eastAsia="en-US" w:bidi="ar-SA"/>
              </w:rPr>
            </w:pPr>
            <w:r>
              <w:rPr>
                <w:rFonts w:ascii="宋体" w:hAnsi="Calibri" w:eastAsiaTheme="minorEastAsia" w:cstheme="minorBidi"/>
                <w:color w:val="000000"/>
                <w:sz w:val="22"/>
                <w:szCs w:val="22"/>
                <w:lang w:val="en-US" w:eastAsia="en-US" w:bidi="ar-SA"/>
              </w:rPr>
              <w:t>2.</w:t>
            </w:r>
            <w:r>
              <w:rPr>
                <w:rFonts w:hint="eastAsia" w:ascii="宋体" w:eastAsiaTheme="minorEastAsia" w:cstheme="minorBidi"/>
                <w:color w:val="000000"/>
                <w:sz w:val="22"/>
                <w:szCs w:val="22"/>
                <w:lang w:val="en-US" w:eastAsia="zh-CN" w:bidi="ar-SA"/>
              </w:rPr>
              <w:t xml:space="preserve"> </w:t>
            </w:r>
            <w:r>
              <w:rPr>
                <w:rFonts w:ascii="宋体" w:hAnsi="宋体" w:cs="宋体" w:eastAsiaTheme="minorEastAsia"/>
                <w:color w:val="000000"/>
                <w:sz w:val="21"/>
                <w:szCs w:val="22"/>
                <w:lang w:val="en-US" w:eastAsia="en-US" w:bidi="ar-SA"/>
              </w:rPr>
              <w:t>加盖拧盖单元操作实训</w:t>
            </w:r>
          </w:p>
          <w:p>
            <w:pPr>
              <w:spacing w:before="88" w:after="0" w:line="231" w:lineRule="exact"/>
              <w:ind w:left="420" w:right="0" w:firstLine="0"/>
              <w:jc w:val="left"/>
              <w:rPr>
                <w:rFonts w:hAnsi="Calibri"/>
                <w:color w:val="000000"/>
                <w:sz w:val="21"/>
                <w:szCs w:val="22"/>
                <w:lang w:val="en-US" w:eastAsia="en-US" w:bidi="ar-SA"/>
              </w:rPr>
            </w:pPr>
            <w:r>
              <w:rPr>
                <w:rFonts w:ascii="宋体" w:hAnsi="Calibri" w:eastAsiaTheme="minorEastAsia" w:cstheme="minorBidi"/>
                <w:color w:val="000000"/>
                <w:sz w:val="22"/>
                <w:szCs w:val="22"/>
                <w:lang w:val="en-US" w:eastAsia="en-US" w:bidi="ar-SA"/>
              </w:rPr>
              <w:t>3.</w:t>
            </w:r>
            <w:r>
              <w:rPr>
                <w:rFonts w:hint="eastAsia" w:ascii="宋体" w:eastAsiaTheme="minorEastAsia" w:cstheme="minorBidi"/>
                <w:color w:val="000000"/>
                <w:sz w:val="22"/>
                <w:szCs w:val="22"/>
                <w:lang w:val="en-US" w:eastAsia="zh-CN" w:bidi="ar-SA"/>
              </w:rPr>
              <w:t xml:space="preserve"> </w:t>
            </w:r>
            <w:r>
              <w:rPr>
                <w:rFonts w:ascii="宋体" w:hAnsi="宋体" w:cs="宋体" w:eastAsiaTheme="minorEastAsia"/>
                <w:color w:val="000000"/>
                <w:sz w:val="21"/>
                <w:szCs w:val="22"/>
                <w:lang w:val="en-US" w:eastAsia="en-US" w:bidi="ar-SA"/>
              </w:rPr>
              <w:t>检测分拣单元操作实训</w:t>
            </w:r>
          </w:p>
          <w:p>
            <w:pPr>
              <w:spacing w:before="91" w:after="0" w:line="231" w:lineRule="exact"/>
              <w:ind w:left="420" w:right="0" w:firstLine="0"/>
              <w:jc w:val="left"/>
              <w:rPr>
                <w:rFonts w:hAnsi="Calibri"/>
                <w:color w:val="000000"/>
                <w:sz w:val="21"/>
                <w:szCs w:val="22"/>
                <w:lang w:val="en-US" w:eastAsia="en-US" w:bidi="ar-SA"/>
              </w:rPr>
            </w:pPr>
            <w:r>
              <w:rPr>
                <w:rFonts w:ascii="宋体" w:hAnsi="Calibri" w:eastAsiaTheme="minorEastAsia" w:cstheme="minorBidi"/>
                <w:color w:val="000000"/>
                <w:sz w:val="22"/>
                <w:szCs w:val="22"/>
                <w:lang w:val="en-US" w:eastAsia="en-US" w:bidi="ar-SA"/>
              </w:rPr>
              <w:t>4.</w:t>
            </w:r>
            <w:r>
              <w:rPr>
                <w:rFonts w:hint="eastAsia" w:ascii="宋体" w:eastAsiaTheme="minorEastAsia" w:cstheme="minorBidi"/>
                <w:color w:val="000000"/>
                <w:sz w:val="22"/>
                <w:szCs w:val="22"/>
                <w:lang w:val="en-US" w:eastAsia="zh-CN" w:bidi="ar-SA"/>
              </w:rPr>
              <w:t xml:space="preserve"> 6</w:t>
            </w:r>
            <w:r>
              <w:rPr>
                <w:rFonts w:ascii="宋体" w:hAnsi="宋体" w:cs="宋体" w:eastAsiaTheme="minorEastAsia"/>
                <w:color w:val="000000"/>
                <w:sz w:val="21"/>
                <w:szCs w:val="22"/>
                <w:lang w:val="en-US" w:eastAsia="en-US" w:bidi="ar-SA"/>
              </w:rPr>
              <w:t>轴机器人搬运单元操作实训</w:t>
            </w:r>
          </w:p>
          <w:p>
            <w:pPr>
              <w:spacing w:before="88" w:after="0" w:line="231" w:lineRule="exact"/>
              <w:ind w:left="420" w:right="0" w:firstLine="0"/>
              <w:jc w:val="left"/>
              <w:rPr>
                <w:rFonts w:hAnsi="Calibri"/>
                <w:color w:val="000000"/>
                <w:sz w:val="21"/>
                <w:szCs w:val="22"/>
                <w:lang w:val="en-US" w:eastAsia="en-US" w:bidi="ar-SA"/>
              </w:rPr>
            </w:pPr>
            <w:r>
              <w:rPr>
                <w:rFonts w:ascii="宋体" w:hAnsi="Calibri" w:eastAsiaTheme="minorEastAsia" w:cstheme="minorBidi"/>
                <w:color w:val="000000"/>
                <w:sz w:val="22"/>
                <w:szCs w:val="22"/>
                <w:lang w:val="en-US" w:eastAsia="en-US" w:bidi="ar-SA"/>
              </w:rPr>
              <w:t>5.</w:t>
            </w:r>
            <w:r>
              <w:rPr>
                <w:rFonts w:hint="eastAsia" w:ascii="宋体" w:eastAsiaTheme="minorEastAsia" w:cstheme="minorBidi"/>
                <w:color w:val="000000"/>
                <w:sz w:val="22"/>
                <w:szCs w:val="22"/>
                <w:lang w:val="en-US" w:eastAsia="zh-CN" w:bidi="ar-SA"/>
              </w:rPr>
              <w:t xml:space="preserve"> </w:t>
            </w:r>
            <w:r>
              <w:rPr>
                <w:rFonts w:ascii="宋体" w:hAnsi="宋体" w:cs="宋体" w:eastAsiaTheme="minorEastAsia"/>
                <w:color w:val="000000"/>
                <w:sz w:val="21"/>
                <w:szCs w:val="22"/>
                <w:lang w:val="en-US" w:eastAsia="en-US" w:bidi="ar-SA"/>
              </w:rPr>
              <w:t>立体仓库单元操作实训</w:t>
            </w:r>
          </w:p>
          <w:p>
            <w:pPr>
              <w:spacing w:before="88" w:after="0" w:line="231" w:lineRule="exact"/>
              <w:ind w:left="420" w:right="0" w:firstLine="0"/>
              <w:jc w:val="left"/>
              <w:rPr>
                <w:rFonts w:hAnsi="Calibri"/>
                <w:color w:val="000000"/>
                <w:sz w:val="21"/>
                <w:szCs w:val="22"/>
                <w:lang w:val="en-US" w:eastAsia="en-US" w:bidi="ar-SA"/>
              </w:rPr>
            </w:pPr>
            <w:r>
              <w:rPr>
                <w:rFonts w:ascii="宋体" w:hAnsi="Calibri" w:eastAsiaTheme="minorEastAsia" w:cstheme="minorBidi"/>
                <w:color w:val="000000"/>
                <w:sz w:val="22"/>
                <w:szCs w:val="22"/>
                <w:lang w:val="en-US" w:eastAsia="en-US" w:bidi="ar-SA"/>
              </w:rPr>
              <w:t>6.</w:t>
            </w:r>
            <w:r>
              <w:rPr>
                <w:rFonts w:hint="eastAsia" w:ascii="宋体" w:eastAsiaTheme="minorEastAsia" w:cstheme="minorBidi"/>
                <w:color w:val="000000"/>
                <w:sz w:val="22"/>
                <w:szCs w:val="22"/>
                <w:lang w:val="en-US" w:eastAsia="zh-CN" w:bidi="ar-SA"/>
              </w:rPr>
              <w:t xml:space="preserve"> </w:t>
            </w:r>
            <w:r>
              <w:rPr>
                <w:rFonts w:ascii="宋体" w:hAnsi="宋体" w:cs="宋体" w:eastAsiaTheme="minorEastAsia"/>
                <w:color w:val="000000"/>
                <w:sz w:val="21"/>
                <w:szCs w:val="22"/>
                <w:lang w:val="en-US" w:eastAsia="en-US" w:bidi="ar-SA"/>
              </w:rPr>
              <w:t>系统联机综合实训</w:t>
            </w:r>
          </w:p>
          <w:p>
            <w:pPr>
              <w:spacing w:before="91" w:after="0" w:line="231" w:lineRule="exact"/>
              <w:ind w:left="420" w:right="0" w:firstLine="0"/>
              <w:jc w:val="left"/>
              <w:rPr>
                <w:rFonts w:hAnsi="Calibri"/>
                <w:color w:val="000000"/>
                <w:sz w:val="21"/>
                <w:szCs w:val="22"/>
                <w:lang w:val="en-US" w:eastAsia="en-US" w:bidi="ar-SA"/>
              </w:rPr>
            </w:pPr>
            <w:r>
              <w:rPr>
                <w:rFonts w:ascii="宋体" w:hAnsi="Calibri" w:eastAsiaTheme="minorEastAsia" w:cstheme="minorBidi"/>
                <w:color w:val="000000"/>
                <w:sz w:val="22"/>
                <w:szCs w:val="22"/>
                <w:lang w:val="en-US" w:eastAsia="en-US" w:bidi="ar-SA"/>
              </w:rPr>
              <w:t>7.</w:t>
            </w:r>
            <w:r>
              <w:rPr>
                <w:rFonts w:hint="eastAsia" w:ascii="宋体" w:eastAsiaTheme="minorEastAsia" w:cstheme="minorBidi"/>
                <w:color w:val="000000"/>
                <w:sz w:val="22"/>
                <w:szCs w:val="22"/>
                <w:lang w:val="en-US" w:eastAsia="zh-CN" w:bidi="ar-SA"/>
              </w:rPr>
              <w:t xml:space="preserve"> </w:t>
            </w:r>
            <w:r>
              <w:rPr>
                <w:rFonts w:ascii="宋体" w:hAnsi="宋体" w:cs="宋体" w:eastAsiaTheme="minorEastAsia"/>
                <w:color w:val="000000"/>
                <w:sz w:val="21"/>
                <w:szCs w:val="22"/>
                <w:lang w:val="en-US" w:eastAsia="en-US" w:bidi="ar-SA"/>
              </w:rPr>
              <w:t>故障诊断与排除部分实训</w:t>
            </w:r>
          </w:p>
          <w:p>
            <w:pPr>
              <w:spacing w:before="89" w:after="0" w:line="231" w:lineRule="exact"/>
              <w:ind w:left="420" w:right="0" w:firstLine="0"/>
              <w:jc w:val="left"/>
              <w:rPr>
                <w:rFonts w:hAnsi="Calibri"/>
                <w:color w:val="000000"/>
                <w:sz w:val="21"/>
                <w:szCs w:val="22"/>
                <w:lang w:val="en-US" w:eastAsia="en-US" w:bidi="ar-SA"/>
              </w:rPr>
            </w:pPr>
            <w:r>
              <w:rPr>
                <w:rFonts w:ascii="宋体" w:hAnsi="Calibri" w:eastAsiaTheme="minorEastAsia" w:cstheme="minorBidi"/>
                <w:color w:val="000000"/>
                <w:sz w:val="22"/>
                <w:szCs w:val="22"/>
                <w:lang w:val="en-US" w:eastAsia="en-US" w:bidi="ar-SA"/>
              </w:rPr>
              <w:t>8.</w:t>
            </w:r>
            <w:r>
              <w:rPr>
                <w:rFonts w:hint="eastAsia" w:ascii="宋体" w:eastAsiaTheme="minorEastAsia" w:cstheme="minorBidi"/>
                <w:color w:val="000000"/>
                <w:sz w:val="22"/>
                <w:szCs w:val="22"/>
                <w:lang w:val="en-US" w:eastAsia="zh-CN" w:bidi="ar-SA"/>
              </w:rPr>
              <w:t xml:space="preserve"> </w:t>
            </w:r>
            <w:r>
              <w:rPr>
                <w:rFonts w:ascii="宋体" w:hAnsi="宋体" w:cs="宋体" w:eastAsiaTheme="minorEastAsia"/>
                <w:color w:val="000000"/>
                <w:sz w:val="21"/>
                <w:szCs w:val="22"/>
                <w:lang w:val="en-US" w:eastAsia="en-US" w:bidi="ar-SA"/>
              </w:rPr>
              <w:t>网络部分实训等</w:t>
            </w:r>
          </w:p>
          <w:bookmarkEnd w:id="0"/>
          <w:bookmarkEnd w:id="1"/>
          <w:bookmarkEnd w:id="2"/>
          <w:p>
            <w:pPr>
              <w:pStyle w:val="4"/>
              <w:pageBreakBefore w:val="0"/>
              <w:kinsoku/>
              <w:wordWrap/>
              <w:overflowPunct/>
              <w:topLinePunct w:val="0"/>
              <w:bidi w:val="0"/>
              <w:spacing w:before="0" w:beforeLines="0" w:after="0" w:afterLines="0" w:line="0" w:lineRule="atLeast"/>
              <w:rPr>
                <w:rFonts w:hint="default" w:ascii="Times New Roman" w:hAnsi="Times New Roman" w:cs="Times New Roman"/>
                <w:sz w:val="21"/>
                <w:szCs w:val="21"/>
                <w:lang w:val="en-US" w:eastAsia="zh-CN"/>
              </w:rPr>
            </w:pPr>
          </w:p>
        </w:tc>
        <w:tc>
          <w:tcPr>
            <w:tcW w:w="1521" w:type="dxa"/>
            <w:noWrap w:val="0"/>
            <w:vAlign w:val="center"/>
          </w:tcPr>
          <w:p>
            <w:pPr>
              <w:keepNext w:val="0"/>
              <w:keepLines w:val="0"/>
              <w:pageBreakBefore w:val="0"/>
              <w:kinsoku/>
              <w:wordWrap/>
              <w:overflowPunct/>
              <w:topLinePunct w:val="0"/>
              <w:autoSpaceDE w:val="0"/>
              <w:autoSpaceDN w:val="0"/>
              <w:bidi w:val="0"/>
              <w:adjustRightInd w:val="0"/>
              <w:snapToGrid w:val="0"/>
              <w:spacing w:line="0" w:lineRule="atLeast"/>
              <w:ind w:firstLine="0" w:firstLineChars="0"/>
              <w:jc w:val="center"/>
              <w:textAlignment w:val="center"/>
              <w:rPr>
                <w:rFonts w:hint="default"/>
              </w:rPr>
            </w:pPr>
            <w:r>
              <w:rPr>
                <w:rFonts w:hint="default"/>
              </w:rPr>
              <w:t>浙江</w:t>
            </w:r>
            <w:r>
              <w:rPr>
                <w:rFonts w:hint="eastAsia"/>
                <w:lang w:val="en-US" w:eastAsia="zh-CN"/>
              </w:rPr>
              <w:t>天煌科技实业有限公司</w:t>
            </w:r>
          </w:p>
          <w:p>
            <w:pPr>
              <w:keepNext w:val="0"/>
              <w:keepLines w:val="0"/>
              <w:pageBreakBefore w:val="0"/>
              <w:kinsoku/>
              <w:wordWrap/>
              <w:overflowPunct/>
              <w:topLinePunct w:val="0"/>
              <w:autoSpaceDE w:val="0"/>
              <w:autoSpaceDN w:val="0"/>
              <w:bidi w:val="0"/>
              <w:adjustRightInd w:val="0"/>
              <w:snapToGrid w:val="0"/>
              <w:spacing w:line="0" w:lineRule="atLeast"/>
              <w:ind w:firstLine="0" w:firstLineChars="0"/>
              <w:jc w:val="center"/>
              <w:textAlignment w:val="center"/>
              <w:rPr>
                <w:rFonts w:hint="default"/>
              </w:rPr>
            </w:pPr>
          </w:p>
          <w:p>
            <w:pPr>
              <w:keepNext w:val="0"/>
              <w:keepLines w:val="0"/>
              <w:pageBreakBefore w:val="0"/>
              <w:kinsoku/>
              <w:wordWrap/>
              <w:overflowPunct/>
              <w:topLinePunct w:val="0"/>
              <w:autoSpaceDE w:val="0"/>
              <w:autoSpaceDN w:val="0"/>
              <w:bidi w:val="0"/>
              <w:adjustRightInd w:val="0"/>
              <w:snapToGrid w:val="0"/>
              <w:spacing w:line="0" w:lineRule="atLeast"/>
              <w:ind w:firstLine="0" w:firstLineChars="0"/>
              <w:jc w:val="center"/>
              <w:textAlignment w:val="center"/>
              <w:rPr>
                <w:rFonts w:hint="default"/>
                <w:lang w:val="en-US" w:eastAsia="zh-CN"/>
              </w:rPr>
            </w:pPr>
            <w:r>
              <w:rPr>
                <w:rFonts w:hint="eastAsia"/>
                <w:lang w:val="en-US" w:eastAsia="zh-CN"/>
              </w:rPr>
              <w:t>杭州正华电子科技有限公司</w:t>
            </w:r>
          </w:p>
          <w:p>
            <w:pPr>
              <w:keepNext w:val="0"/>
              <w:keepLines w:val="0"/>
              <w:pageBreakBefore w:val="0"/>
              <w:kinsoku/>
              <w:wordWrap/>
              <w:overflowPunct/>
              <w:topLinePunct w:val="0"/>
              <w:autoSpaceDE w:val="0"/>
              <w:autoSpaceDN w:val="0"/>
              <w:bidi w:val="0"/>
              <w:adjustRightInd w:val="0"/>
              <w:snapToGrid w:val="0"/>
              <w:spacing w:line="0" w:lineRule="atLeast"/>
              <w:ind w:firstLine="0" w:firstLineChars="0"/>
              <w:jc w:val="center"/>
              <w:textAlignment w:val="center"/>
              <w:rPr>
                <w:rFonts w:hint="default"/>
              </w:rPr>
            </w:pPr>
          </w:p>
          <w:p>
            <w:pPr>
              <w:pStyle w:val="13"/>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textAlignment w:val="auto"/>
              <w:rPr>
                <w:rFonts w:hint="default" w:eastAsia="宋体"/>
                <w:lang w:val="en-US" w:eastAsia="zh-CN"/>
              </w:rPr>
            </w:pPr>
            <w:r>
              <w:rPr>
                <w:rFonts w:hint="eastAsia"/>
                <w:lang w:val="en-US" w:eastAsia="zh-CN"/>
              </w:rPr>
              <w:t>浙江拓峰自动化设备有限公司</w:t>
            </w:r>
            <w:bookmarkStart w:id="3" w:name="_GoBack"/>
            <w:bookmarkEnd w:id="3"/>
          </w:p>
        </w:tc>
        <w:tc>
          <w:tcPr>
            <w:tcW w:w="729" w:type="dxa"/>
            <w:noWrap w:val="0"/>
            <w:vAlign w:val="center"/>
          </w:tcPr>
          <w:p>
            <w:pPr>
              <w:pageBreakBefore w:val="0"/>
              <w:kinsoku/>
              <w:wordWrap/>
              <w:overflowPunct/>
              <w:topLinePunct w:val="0"/>
              <w:bidi w:val="0"/>
              <w:spacing w:line="0" w:lineRule="atLeast"/>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sz w:val="21"/>
                <w:szCs w:val="21"/>
                <w:lang w:val="en-US" w:eastAsia="zh-CN"/>
              </w:rPr>
              <w:t>1</w:t>
            </w:r>
          </w:p>
        </w:tc>
        <w:tc>
          <w:tcPr>
            <w:tcW w:w="840"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line="0" w:lineRule="atLeast"/>
              <w:ind w:firstLine="0" w:firstLine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kern w:val="0"/>
                <w:sz w:val="21"/>
                <w:szCs w:val="21"/>
                <w:lang w:val="en-US" w:eastAsia="zh-CN"/>
              </w:rPr>
              <w:t>套</w:t>
            </w:r>
          </w:p>
        </w:tc>
        <w:tc>
          <w:tcPr>
            <w:tcW w:w="1005" w:type="dxa"/>
            <w:noWrap w:val="0"/>
            <w:vAlign w:val="center"/>
          </w:tcPr>
          <w:p>
            <w:pPr>
              <w:pageBreakBefore w:val="0"/>
              <w:kinsoku/>
              <w:wordWrap/>
              <w:overflowPunct/>
              <w:topLinePunct w:val="0"/>
              <w:bidi w:val="0"/>
              <w:spacing w:line="0" w:lineRule="atLeast"/>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sz w:val="21"/>
                <w:szCs w:val="21"/>
                <w:lang w:val="en-US" w:eastAsia="zh-CN"/>
              </w:rPr>
              <w:t>75</w:t>
            </w:r>
          </w:p>
        </w:tc>
        <w:tc>
          <w:tcPr>
            <w:tcW w:w="961" w:type="dxa"/>
            <w:noWrap w:val="0"/>
            <w:vAlign w:val="center"/>
          </w:tcPr>
          <w:p>
            <w:pPr>
              <w:pageBreakBefore w:val="0"/>
              <w:kinsoku/>
              <w:wordWrap/>
              <w:overflowPunct/>
              <w:topLinePunct w:val="0"/>
              <w:bidi w:val="0"/>
              <w:spacing w:line="0" w:lineRule="atLeast"/>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sz w:val="21"/>
                <w:szCs w:val="21"/>
                <w:lang w:val="en-US" w:eastAsia="zh-CN"/>
              </w:rPr>
              <w:t>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3877" w:type="dxa"/>
            <w:gridSpan w:val="7"/>
            <w:noWrap w:val="0"/>
            <w:vAlign w:val="center"/>
          </w:tcPr>
          <w:p>
            <w:pPr>
              <w:keepNext w:val="0"/>
              <w:keepLines w:val="0"/>
              <w:pageBreakBefore w:val="0"/>
              <w:widowControl/>
              <w:kinsoku/>
              <w:wordWrap/>
              <w:overflowPunct/>
              <w:topLinePunct w:val="0"/>
              <w:autoSpaceDE w:val="0"/>
              <w:autoSpaceDN w:val="0"/>
              <w:bidi w:val="0"/>
              <w:adjustRightInd w:val="0"/>
              <w:snapToGrid w:val="0"/>
              <w:spacing w:line="0" w:lineRule="atLeast"/>
              <w:ind w:firstLine="0" w:firstLineChars="0"/>
              <w:jc w:val="right"/>
              <w:textAlignment w:val="center"/>
              <w:rPr>
                <w:rFonts w:hint="default" w:ascii="Times New Roman" w:hAnsi="Times New Roman" w:cs="Times New Roman"/>
                <w:b/>
                <w:color w:val="auto"/>
                <w:kern w:val="0"/>
                <w:sz w:val="21"/>
                <w:szCs w:val="21"/>
              </w:rPr>
            </w:pPr>
            <w:r>
              <w:rPr>
                <w:rFonts w:hint="default" w:ascii="Times New Roman" w:hAnsi="Times New Roman" w:cs="Times New Roman"/>
                <w:b/>
                <w:color w:val="auto"/>
                <w:sz w:val="21"/>
                <w:szCs w:val="21"/>
              </w:rPr>
              <w:t>合计（万元）</w:t>
            </w:r>
          </w:p>
        </w:tc>
        <w:tc>
          <w:tcPr>
            <w:tcW w:w="961"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line="0" w:lineRule="atLeast"/>
              <w:ind w:firstLine="0" w:firstLineChars="0"/>
              <w:jc w:val="center"/>
              <w:textAlignment w:val="center"/>
              <w:rPr>
                <w:rFonts w:hint="default" w:ascii="Times New Roman" w:hAnsi="Times New Roman" w:eastAsia="宋体" w:cs="Times New Roman"/>
                <w:b/>
                <w:color w:val="auto"/>
                <w:kern w:val="0"/>
                <w:sz w:val="21"/>
                <w:szCs w:val="21"/>
                <w:lang w:val="en-US" w:eastAsia="zh-CN"/>
              </w:rPr>
            </w:pPr>
            <w:r>
              <w:rPr>
                <w:rFonts w:hint="eastAsia" w:ascii="Times New Roman" w:hAnsi="Times New Roman" w:cs="Times New Roman"/>
                <w:b/>
                <w:color w:val="auto"/>
                <w:kern w:val="0"/>
                <w:sz w:val="21"/>
                <w:szCs w:val="21"/>
                <w:lang w:val="en-US" w:eastAsia="zh-CN"/>
              </w:rPr>
              <w:t>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3877" w:type="dxa"/>
            <w:gridSpan w:val="7"/>
            <w:noWrap w:val="0"/>
            <w:vAlign w:val="center"/>
          </w:tcPr>
          <w:p>
            <w:pPr>
              <w:keepNext w:val="0"/>
              <w:keepLines w:val="0"/>
              <w:pageBreakBefore w:val="0"/>
              <w:widowControl/>
              <w:kinsoku/>
              <w:wordWrap/>
              <w:overflowPunct/>
              <w:topLinePunct w:val="0"/>
              <w:autoSpaceDE w:val="0"/>
              <w:autoSpaceDN w:val="0"/>
              <w:bidi w:val="0"/>
              <w:adjustRightInd w:val="0"/>
              <w:snapToGrid w:val="0"/>
              <w:spacing w:line="0" w:lineRule="atLeast"/>
              <w:ind w:firstLine="0" w:firstLineChars="0"/>
              <w:jc w:val="right"/>
              <w:textAlignment w:val="center"/>
              <w:rPr>
                <w:rFonts w:hint="default" w:ascii="Times New Roman" w:hAnsi="Times New Roman" w:cs="Times New Roman"/>
                <w:b/>
                <w:color w:val="auto"/>
                <w:kern w:val="0"/>
                <w:sz w:val="21"/>
                <w:szCs w:val="21"/>
              </w:rPr>
            </w:pPr>
            <w:r>
              <w:rPr>
                <w:rFonts w:hint="default" w:ascii="Times New Roman" w:hAnsi="Times New Roman" w:cs="Times New Roman"/>
                <w:b/>
                <w:color w:val="auto"/>
                <w:sz w:val="21"/>
                <w:szCs w:val="21"/>
              </w:rPr>
              <w:t>立项批准经费（万元）</w:t>
            </w:r>
          </w:p>
        </w:tc>
        <w:tc>
          <w:tcPr>
            <w:tcW w:w="961"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line="0" w:lineRule="atLeast"/>
              <w:ind w:firstLine="0" w:firstLineChars="0"/>
              <w:jc w:val="center"/>
              <w:textAlignment w:val="center"/>
              <w:rPr>
                <w:rFonts w:hint="default" w:ascii="Times New Roman" w:hAnsi="Times New Roman" w:eastAsia="宋体" w:cs="Times New Roman"/>
                <w:b/>
                <w:color w:val="auto"/>
                <w:kern w:val="0"/>
                <w:sz w:val="21"/>
                <w:szCs w:val="21"/>
                <w:lang w:val="en-US" w:eastAsia="zh-CN"/>
              </w:rPr>
            </w:pPr>
            <w:r>
              <w:rPr>
                <w:rFonts w:hint="eastAsia" w:ascii="Times New Roman" w:hAnsi="Times New Roman" w:cs="Times New Roman"/>
                <w:b/>
                <w:color w:val="auto"/>
                <w:kern w:val="0"/>
                <w:sz w:val="21"/>
                <w:szCs w:val="21"/>
                <w:lang w:val="en-US" w:eastAsia="zh-CN"/>
              </w:rPr>
              <w:t>75</w:t>
            </w:r>
          </w:p>
        </w:tc>
      </w:tr>
    </w:tbl>
    <w:p>
      <w:pPr>
        <w:ind w:firstLine="360" w:firstLineChars="200"/>
        <w:rPr>
          <w:rFonts w:hint="eastAsia"/>
          <w:color w:val="auto"/>
          <w:sz w:val="18"/>
          <w:szCs w:val="18"/>
        </w:rPr>
      </w:pPr>
      <w:r>
        <w:rPr>
          <w:rFonts w:hint="eastAsia"/>
          <w:color w:val="auto"/>
          <w:sz w:val="18"/>
          <w:szCs w:val="18"/>
        </w:rPr>
        <w:t>注：1．通用设备：不定品牌，但要注明详细的配置。通用设备指电脑、空调、投影仪等。2．技术参数不能标注特殊符号。3．参数2页或以上需加盖骑缝章。</w:t>
      </w:r>
    </w:p>
    <w:p>
      <w:pPr>
        <w:keepNext w:val="0"/>
        <w:keepLines w:val="0"/>
        <w:pageBreakBefore w:val="0"/>
        <w:widowControl w:val="0"/>
        <w:kinsoku/>
        <w:wordWrap/>
        <w:overflowPunct/>
        <w:topLinePunct w:val="0"/>
        <w:autoSpaceDE/>
        <w:autoSpaceDN/>
        <w:bidi w:val="0"/>
        <w:adjustRightInd w:val="0"/>
        <w:snapToGrid w:val="0"/>
        <w:spacing w:beforeAutospacing="0" w:afterAutospacing="0" w:line="300" w:lineRule="auto"/>
        <w:ind w:right="0"/>
        <w:jc w:val="both"/>
        <w:textAlignment w:val="baseline"/>
        <w:outlineLvl w:val="9"/>
        <w:rPr>
          <w:rFonts w:hint="eastAsia"/>
          <w:b/>
          <w:color w:val="auto"/>
          <w:sz w:val="44"/>
          <w:szCs w:val="44"/>
          <w:lang w:val="en-US" w:eastAsia="zh-CN"/>
        </w:rPr>
        <w:sectPr>
          <w:pgSz w:w="16838" w:h="11906" w:orient="landscape"/>
          <w:pgMar w:top="1803" w:right="1440" w:bottom="1803" w:left="1440" w:header="851" w:footer="992" w:gutter="0"/>
          <w:cols w:space="720" w:num="1"/>
          <w:titlePg/>
          <w:rtlGutter w:val="0"/>
          <w:docGrid w:type="lines" w:linePitch="332" w:charSpace="0"/>
        </w:sectPr>
      </w:pPr>
    </w:p>
    <w:p>
      <w:pPr>
        <w:spacing w:after="78"/>
        <w:ind w:firstLine="0" w:firstLineChars="0"/>
        <w:jc w:val="center"/>
        <w:outlineLvl w:val="0"/>
        <w:rPr>
          <w:rFonts w:hint="eastAsia" w:eastAsia="仿宋_GB2312"/>
          <w:b/>
          <w:color w:val="auto"/>
          <w:sz w:val="44"/>
          <w:szCs w:val="44"/>
          <w:lang w:val="en-US" w:eastAsia="zh-CN"/>
        </w:rPr>
      </w:pPr>
      <w:r>
        <w:rPr>
          <w:rFonts w:hint="eastAsia"/>
          <w:b/>
          <w:color w:val="auto"/>
          <w:sz w:val="44"/>
          <w:szCs w:val="44"/>
          <w:lang w:val="en-US" w:eastAsia="zh-CN"/>
        </w:rPr>
        <w:t>责 任 书</w:t>
      </w:r>
    </w:p>
    <w:p>
      <w:pPr>
        <w:keepNext w:val="0"/>
        <w:keepLines w:val="0"/>
        <w:pageBreakBefore w:val="0"/>
        <w:widowControl w:val="0"/>
        <w:tabs>
          <w:tab w:val="left" w:pos="6840"/>
        </w:tabs>
        <w:kinsoku/>
        <w:overflowPunct/>
        <w:topLinePunct w:val="0"/>
        <w:autoSpaceDE w:val="0"/>
        <w:autoSpaceDN w:val="0"/>
        <w:bidi w:val="0"/>
        <w:adjustRightInd w:val="0"/>
        <w:snapToGrid w:val="0"/>
        <w:spacing w:after="0" w:afterLines="0" w:line="360" w:lineRule="auto"/>
        <w:ind w:firstLine="600" w:firstLineChars="200"/>
        <w:textAlignment w:val="center"/>
        <w:outlineLvl w:val="9"/>
        <w:rPr>
          <w:rFonts w:hint="eastAsia" w:ascii="仿宋" w:hAnsi="仿宋" w:eastAsia="仿宋" w:cs="宋体"/>
          <w:color w:val="auto"/>
          <w:sz w:val="30"/>
          <w:szCs w:val="30"/>
        </w:rPr>
      </w:pPr>
    </w:p>
    <w:p>
      <w:pPr>
        <w:keepNext w:val="0"/>
        <w:keepLines w:val="0"/>
        <w:pageBreakBefore w:val="0"/>
        <w:widowControl w:val="0"/>
        <w:tabs>
          <w:tab w:val="left" w:pos="6840"/>
        </w:tabs>
        <w:kinsoku/>
        <w:overflowPunct/>
        <w:topLinePunct w:val="0"/>
        <w:autoSpaceDE w:val="0"/>
        <w:autoSpaceDN w:val="0"/>
        <w:bidi w:val="0"/>
        <w:adjustRightInd w:val="0"/>
        <w:snapToGrid w:val="0"/>
        <w:spacing w:after="0" w:afterLines="0" w:line="360" w:lineRule="auto"/>
        <w:ind w:firstLine="600" w:firstLineChars="200"/>
        <w:textAlignment w:val="center"/>
        <w:outlineLvl w:val="9"/>
        <w:rPr>
          <w:rFonts w:hint="eastAsia" w:ascii="仿宋" w:hAnsi="仿宋" w:eastAsia="仿宋" w:cs="宋体"/>
          <w:color w:val="auto"/>
          <w:sz w:val="30"/>
          <w:szCs w:val="30"/>
        </w:rPr>
      </w:pPr>
      <w:r>
        <w:rPr>
          <w:rFonts w:hint="eastAsia" w:ascii="仿宋" w:hAnsi="仿宋" w:eastAsia="仿宋" w:cs="宋体"/>
          <w:color w:val="auto"/>
          <w:sz w:val="30"/>
          <w:szCs w:val="30"/>
        </w:rPr>
        <w:t>甲方：湄洲湾职业技术学院</w:t>
      </w:r>
    </w:p>
    <w:p>
      <w:pPr>
        <w:keepNext w:val="0"/>
        <w:keepLines w:val="0"/>
        <w:pageBreakBefore w:val="0"/>
        <w:widowControl w:val="0"/>
        <w:tabs>
          <w:tab w:val="left" w:pos="6840"/>
        </w:tabs>
        <w:kinsoku/>
        <w:overflowPunct/>
        <w:topLinePunct w:val="0"/>
        <w:autoSpaceDE w:val="0"/>
        <w:autoSpaceDN w:val="0"/>
        <w:bidi w:val="0"/>
        <w:adjustRightInd w:val="0"/>
        <w:snapToGrid w:val="0"/>
        <w:spacing w:after="0" w:afterLines="0" w:line="360" w:lineRule="auto"/>
        <w:ind w:firstLine="600" w:firstLineChars="200"/>
        <w:textAlignment w:val="center"/>
        <w:outlineLvl w:val="9"/>
        <w:rPr>
          <w:rFonts w:hint="eastAsia" w:ascii="仿宋" w:hAnsi="仿宋" w:eastAsia="仿宋" w:cs="宋体"/>
          <w:b/>
          <w:bCs/>
          <w:color w:val="auto"/>
          <w:sz w:val="30"/>
          <w:szCs w:val="30"/>
        </w:rPr>
      </w:pPr>
      <w:r>
        <w:rPr>
          <w:rFonts w:hint="eastAsia" w:ascii="仿宋" w:hAnsi="仿宋" w:eastAsia="仿宋" w:cs="宋体"/>
          <w:color w:val="auto"/>
          <w:sz w:val="30"/>
          <w:szCs w:val="30"/>
        </w:rPr>
        <w:t>乙方：（项目所属部门）</w:t>
      </w:r>
      <w:r>
        <w:rPr>
          <w:rFonts w:hint="eastAsia" w:ascii="仿宋" w:hAnsi="仿宋" w:eastAsia="仿宋" w:cs="宋体"/>
          <w:color w:val="auto"/>
          <w:sz w:val="30"/>
          <w:szCs w:val="30"/>
          <w:u w:val="single"/>
          <w:lang w:val="en-US" w:eastAsia="zh-CN"/>
        </w:rPr>
        <w:t>智能制造工程系</w:t>
      </w:r>
      <w:r>
        <w:rPr>
          <w:rFonts w:hint="eastAsia" w:ascii="仿宋" w:hAnsi="仿宋" w:eastAsia="仿宋" w:cs="宋体"/>
          <w:color w:val="auto"/>
          <w:sz w:val="30"/>
          <w:szCs w:val="30"/>
          <w:u w:val="single"/>
        </w:rPr>
        <w:t xml:space="preserve">   </w:t>
      </w:r>
    </w:p>
    <w:p>
      <w:pPr>
        <w:keepNext w:val="0"/>
        <w:keepLines w:val="0"/>
        <w:pageBreakBefore w:val="0"/>
        <w:widowControl w:val="0"/>
        <w:tabs>
          <w:tab w:val="left" w:pos="6840"/>
        </w:tabs>
        <w:kinsoku/>
        <w:overflowPunct/>
        <w:topLinePunct w:val="0"/>
        <w:autoSpaceDE w:val="0"/>
        <w:autoSpaceDN w:val="0"/>
        <w:bidi w:val="0"/>
        <w:adjustRightInd w:val="0"/>
        <w:snapToGrid w:val="0"/>
        <w:spacing w:after="0" w:afterLines="0" w:line="360" w:lineRule="auto"/>
        <w:ind w:firstLine="600" w:firstLineChars="200"/>
        <w:textAlignment w:val="center"/>
        <w:outlineLvl w:val="9"/>
        <w:rPr>
          <w:rFonts w:hint="eastAsia" w:ascii="仿宋" w:hAnsi="仿宋" w:eastAsia="仿宋" w:cs="宋体"/>
          <w:b/>
          <w:bCs/>
          <w:color w:val="auto"/>
          <w:sz w:val="30"/>
          <w:szCs w:val="30"/>
        </w:rPr>
      </w:pPr>
      <w:r>
        <w:rPr>
          <w:rFonts w:hint="eastAsia" w:ascii="仿宋" w:hAnsi="仿宋" w:eastAsia="仿宋" w:cs="宋体"/>
          <w:color w:val="auto"/>
          <w:sz w:val="30"/>
          <w:szCs w:val="30"/>
        </w:rPr>
        <w:t xml:space="preserve">丙方：（项目负责人）  </w:t>
      </w:r>
      <w:r>
        <w:rPr>
          <w:rFonts w:hint="eastAsia" w:ascii="仿宋" w:hAnsi="仿宋" w:eastAsia="仿宋" w:cs="宋体"/>
          <w:color w:val="auto"/>
          <w:sz w:val="30"/>
          <w:szCs w:val="30"/>
          <w:u w:val="single"/>
          <w:lang w:val="en-US" w:eastAsia="zh-CN"/>
        </w:rPr>
        <w:t>沈一凛</w:t>
      </w:r>
      <w:r>
        <w:rPr>
          <w:rFonts w:hint="eastAsia" w:ascii="仿宋" w:hAnsi="仿宋" w:eastAsia="仿宋" w:cs="宋体"/>
          <w:color w:val="auto"/>
          <w:sz w:val="30"/>
          <w:szCs w:val="30"/>
          <w:u w:val="single"/>
        </w:rPr>
        <w:t xml:space="preserve">       </w:t>
      </w:r>
    </w:p>
    <w:p>
      <w:pPr>
        <w:keepNext w:val="0"/>
        <w:keepLines w:val="0"/>
        <w:pageBreakBefore w:val="0"/>
        <w:widowControl w:val="0"/>
        <w:tabs>
          <w:tab w:val="left" w:pos="6840"/>
        </w:tabs>
        <w:kinsoku/>
        <w:overflowPunct/>
        <w:topLinePunct w:val="0"/>
        <w:autoSpaceDE w:val="0"/>
        <w:autoSpaceDN w:val="0"/>
        <w:bidi w:val="0"/>
        <w:adjustRightInd w:val="0"/>
        <w:snapToGrid w:val="0"/>
        <w:spacing w:after="0" w:afterLines="0" w:line="360" w:lineRule="auto"/>
        <w:ind w:firstLine="600" w:firstLineChars="200"/>
        <w:textAlignment w:val="center"/>
        <w:outlineLvl w:val="9"/>
        <w:rPr>
          <w:rFonts w:hint="eastAsia" w:ascii="仿宋" w:hAnsi="仿宋" w:eastAsia="仿宋" w:cs="宋体"/>
          <w:color w:val="auto"/>
          <w:sz w:val="30"/>
          <w:szCs w:val="30"/>
        </w:rPr>
      </w:pPr>
      <w:r>
        <w:rPr>
          <w:rFonts w:hint="eastAsia" w:ascii="仿宋" w:hAnsi="仿宋" w:eastAsia="仿宋" w:cs="宋体"/>
          <w:color w:val="auto"/>
          <w:sz w:val="30"/>
          <w:szCs w:val="30"/>
        </w:rPr>
        <w:t>1</w:t>
      </w:r>
      <w:r>
        <w:rPr>
          <w:rFonts w:hint="eastAsia" w:ascii="仿宋" w:hAnsi="仿宋" w:eastAsia="仿宋" w:cs="宋体"/>
          <w:color w:val="auto"/>
          <w:sz w:val="30"/>
          <w:szCs w:val="30"/>
          <w:lang w:eastAsia="zh-CN"/>
        </w:rPr>
        <w:t>.</w:t>
      </w:r>
      <w:r>
        <w:rPr>
          <w:rFonts w:hint="eastAsia" w:ascii="仿宋" w:hAnsi="仿宋" w:eastAsia="仿宋" w:cs="宋体"/>
          <w:color w:val="auto"/>
          <w:sz w:val="30"/>
          <w:szCs w:val="30"/>
        </w:rPr>
        <w:t>学院从“</w:t>
      </w:r>
      <w:r>
        <w:rPr>
          <w:rFonts w:hint="eastAsia" w:ascii="仿宋" w:hAnsi="仿宋" w:eastAsia="仿宋" w:cs="宋体"/>
          <w:color w:val="auto"/>
          <w:sz w:val="30"/>
          <w:szCs w:val="30"/>
          <w:u w:val="single"/>
        </w:rPr>
        <w:t xml:space="preserve">                             </w:t>
      </w:r>
      <w:r>
        <w:rPr>
          <w:rFonts w:hint="eastAsia" w:ascii="仿宋" w:hAnsi="仿宋" w:eastAsia="仿宋" w:cs="宋体"/>
          <w:color w:val="auto"/>
          <w:sz w:val="30"/>
          <w:szCs w:val="30"/>
        </w:rPr>
        <w:t>”专项经费划拨</w:t>
      </w:r>
      <w:r>
        <w:rPr>
          <w:rFonts w:hint="eastAsia" w:ascii="仿宋" w:hAnsi="仿宋" w:eastAsia="仿宋" w:cs="宋体"/>
          <w:color w:val="auto"/>
          <w:sz w:val="30"/>
          <w:szCs w:val="30"/>
          <w:u w:val="single"/>
        </w:rPr>
        <w:t xml:space="preserve"> </w:t>
      </w:r>
      <w:r>
        <w:rPr>
          <w:rFonts w:hint="eastAsia" w:ascii="仿宋" w:hAnsi="仿宋" w:eastAsia="仿宋" w:cs="宋体"/>
          <w:color w:val="auto"/>
          <w:sz w:val="30"/>
          <w:szCs w:val="30"/>
          <w:u w:val="single"/>
          <w:lang w:val="en-US" w:eastAsia="zh-CN"/>
        </w:rPr>
        <w:t>75</w:t>
      </w:r>
      <w:r>
        <w:rPr>
          <w:rFonts w:hint="eastAsia" w:ascii="仿宋" w:hAnsi="仿宋" w:eastAsia="仿宋" w:cs="宋体"/>
          <w:color w:val="auto"/>
          <w:sz w:val="30"/>
          <w:szCs w:val="30"/>
          <w:u w:val="single"/>
        </w:rPr>
        <w:t xml:space="preserve"> </w:t>
      </w:r>
      <w:r>
        <w:rPr>
          <w:rFonts w:hint="eastAsia" w:ascii="仿宋" w:hAnsi="仿宋" w:eastAsia="仿宋" w:cs="宋体"/>
          <w:color w:val="auto"/>
          <w:sz w:val="30"/>
          <w:szCs w:val="30"/>
        </w:rPr>
        <w:t>万元用于乙方20</w:t>
      </w:r>
      <w:r>
        <w:rPr>
          <w:rFonts w:hint="eastAsia" w:ascii="仿宋" w:hAnsi="仿宋" w:eastAsia="仿宋" w:cs="宋体"/>
          <w:color w:val="auto"/>
          <w:sz w:val="30"/>
          <w:szCs w:val="30"/>
          <w:lang w:val="en-US" w:eastAsia="zh-CN"/>
        </w:rPr>
        <w:t>23</w:t>
      </w:r>
      <w:r>
        <w:rPr>
          <w:rFonts w:hint="eastAsia" w:ascii="仿宋" w:hAnsi="仿宋" w:eastAsia="仿宋" w:cs="宋体"/>
          <w:color w:val="auto"/>
          <w:sz w:val="30"/>
          <w:szCs w:val="30"/>
        </w:rPr>
        <w:t>年实训设备采购项目经费。</w:t>
      </w:r>
    </w:p>
    <w:p>
      <w:pPr>
        <w:keepNext w:val="0"/>
        <w:keepLines w:val="0"/>
        <w:pageBreakBefore w:val="0"/>
        <w:widowControl w:val="0"/>
        <w:tabs>
          <w:tab w:val="left" w:pos="6840"/>
        </w:tabs>
        <w:kinsoku/>
        <w:overflowPunct/>
        <w:topLinePunct w:val="0"/>
        <w:autoSpaceDE w:val="0"/>
        <w:autoSpaceDN w:val="0"/>
        <w:bidi w:val="0"/>
        <w:adjustRightInd w:val="0"/>
        <w:snapToGrid w:val="0"/>
        <w:spacing w:after="0" w:afterLines="0" w:line="360" w:lineRule="auto"/>
        <w:ind w:firstLine="600" w:firstLineChars="200"/>
        <w:textAlignment w:val="center"/>
        <w:outlineLvl w:val="9"/>
        <w:rPr>
          <w:rFonts w:hint="eastAsia" w:ascii="仿宋" w:hAnsi="仿宋" w:eastAsia="仿宋" w:cs="宋体"/>
          <w:color w:val="auto"/>
          <w:sz w:val="30"/>
          <w:szCs w:val="30"/>
        </w:rPr>
      </w:pPr>
      <w:r>
        <w:rPr>
          <w:rFonts w:hint="eastAsia" w:ascii="仿宋" w:hAnsi="仿宋" w:eastAsia="仿宋" w:cs="宋体"/>
          <w:color w:val="auto"/>
          <w:sz w:val="30"/>
          <w:szCs w:val="30"/>
        </w:rPr>
        <w:t>2</w:t>
      </w:r>
      <w:r>
        <w:rPr>
          <w:rFonts w:hint="eastAsia" w:ascii="仿宋" w:hAnsi="仿宋" w:eastAsia="仿宋" w:cs="宋体"/>
          <w:color w:val="auto"/>
          <w:sz w:val="30"/>
          <w:szCs w:val="30"/>
          <w:lang w:eastAsia="zh-CN"/>
        </w:rPr>
        <w:t>.</w:t>
      </w:r>
      <w:r>
        <w:rPr>
          <w:rFonts w:hint="eastAsia" w:ascii="仿宋" w:hAnsi="仿宋" w:eastAsia="仿宋" w:cs="宋体"/>
          <w:color w:val="auto"/>
          <w:sz w:val="30"/>
          <w:szCs w:val="30"/>
        </w:rPr>
        <w:t>乙方和丙方应积极组织设备采购论证及其他相关工作，并在规定时间内完成实训设备的验收工作。</w:t>
      </w:r>
    </w:p>
    <w:p>
      <w:pPr>
        <w:keepNext w:val="0"/>
        <w:keepLines w:val="0"/>
        <w:pageBreakBefore w:val="0"/>
        <w:widowControl w:val="0"/>
        <w:tabs>
          <w:tab w:val="left" w:pos="6840"/>
        </w:tabs>
        <w:kinsoku/>
        <w:overflowPunct/>
        <w:topLinePunct w:val="0"/>
        <w:autoSpaceDE w:val="0"/>
        <w:autoSpaceDN w:val="0"/>
        <w:bidi w:val="0"/>
        <w:adjustRightInd w:val="0"/>
        <w:snapToGrid w:val="0"/>
        <w:spacing w:after="0" w:afterLines="0" w:line="360" w:lineRule="auto"/>
        <w:ind w:firstLine="600" w:firstLineChars="200"/>
        <w:textAlignment w:val="center"/>
        <w:outlineLvl w:val="9"/>
        <w:rPr>
          <w:rFonts w:hint="eastAsia" w:ascii="仿宋" w:hAnsi="仿宋" w:eastAsia="仿宋" w:cs="宋体"/>
          <w:color w:val="auto"/>
          <w:sz w:val="30"/>
          <w:szCs w:val="30"/>
        </w:rPr>
      </w:pPr>
      <w:r>
        <w:rPr>
          <w:rFonts w:hint="eastAsia" w:ascii="仿宋" w:hAnsi="仿宋" w:eastAsia="仿宋" w:cs="宋体"/>
          <w:color w:val="auto"/>
          <w:sz w:val="30"/>
          <w:szCs w:val="30"/>
        </w:rPr>
        <w:t>3</w:t>
      </w:r>
      <w:r>
        <w:rPr>
          <w:rFonts w:hint="eastAsia" w:ascii="仿宋" w:hAnsi="仿宋" w:eastAsia="仿宋" w:cs="宋体"/>
          <w:color w:val="auto"/>
          <w:sz w:val="30"/>
          <w:szCs w:val="30"/>
          <w:lang w:eastAsia="zh-CN"/>
        </w:rPr>
        <w:t>.</w:t>
      </w:r>
      <w:r>
        <w:rPr>
          <w:rFonts w:hint="eastAsia" w:ascii="仿宋" w:hAnsi="仿宋" w:eastAsia="仿宋" w:cs="宋体"/>
          <w:color w:val="auto"/>
          <w:sz w:val="30"/>
          <w:szCs w:val="30"/>
        </w:rPr>
        <w:t>制定运行管理、收费管理、开放共享管理及绩效分配管理办法</w:t>
      </w:r>
      <w:r>
        <w:rPr>
          <w:rFonts w:hint="eastAsia" w:ascii="仿宋" w:hAnsi="仿宋" w:eastAsia="仿宋" w:cs="宋体"/>
          <w:color w:val="auto"/>
          <w:sz w:val="30"/>
          <w:szCs w:val="30"/>
          <w:lang w:eastAsia="zh-CN"/>
        </w:rPr>
        <w:t>,</w:t>
      </w:r>
      <w:r>
        <w:rPr>
          <w:rFonts w:hint="eastAsia" w:ascii="仿宋" w:hAnsi="仿宋" w:eastAsia="仿宋" w:cs="宋体"/>
          <w:color w:val="auto"/>
          <w:sz w:val="30"/>
          <w:szCs w:val="30"/>
        </w:rPr>
        <w:t>指定专人负责设备日常运行及维护。</w:t>
      </w:r>
    </w:p>
    <w:p>
      <w:pPr>
        <w:keepNext w:val="0"/>
        <w:keepLines w:val="0"/>
        <w:pageBreakBefore w:val="0"/>
        <w:widowControl w:val="0"/>
        <w:tabs>
          <w:tab w:val="left" w:pos="6840"/>
        </w:tabs>
        <w:kinsoku/>
        <w:overflowPunct/>
        <w:topLinePunct w:val="0"/>
        <w:autoSpaceDE w:val="0"/>
        <w:autoSpaceDN w:val="0"/>
        <w:bidi w:val="0"/>
        <w:adjustRightInd w:val="0"/>
        <w:snapToGrid w:val="0"/>
        <w:spacing w:after="0" w:afterLines="0" w:line="360" w:lineRule="auto"/>
        <w:ind w:firstLine="600" w:firstLineChars="200"/>
        <w:textAlignment w:val="center"/>
        <w:outlineLvl w:val="9"/>
        <w:rPr>
          <w:rFonts w:hint="eastAsia" w:ascii="仿宋" w:hAnsi="仿宋" w:eastAsia="仿宋" w:cs="宋体"/>
          <w:color w:val="auto"/>
          <w:sz w:val="30"/>
          <w:szCs w:val="30"/>
        </w:rPr>
      </w:pPr>
      <w:r>
        <w:rPr>
          <w:rFonts w:hint="eastAsia" w:ascii="仿宋" w:hAnsi="仿宋" w:eastAsia="仿宋" w:cs="宋体"/>
          <w:color w:val="auto"/>
          <w:sz w:val="30"/>
          <w:szCs w:val="30"/>
          <w:lang w:val="en-US" w:eastAsia="zh-CN"/>
        </w:rPr>
        <w:t>4</w:t>
      </w:r>
      <w:r>
        <w:rPr>
          <w:rFonts w:hint="eastAsia" w:ascii="仿宋" w:hAnsi="仿宋" w:eastAsia="仿宋" w:cs="宋体"/>
          <w:color w:val="auto"/>
          <w:sz w:val="30"/>
          <w:szCs w:val="30"/>
          <w:lang w:eastAsia="zh-CN"/>
        </w:rPr>
        <w:t>.</w:t>
      </w:r>
      <w:r>
        <w:rPr>
          <w:rFonts w:hint="eastAsia" w:ascii="仿宋" w:hAnsi="仿宋" w:eastAsia="仿宋" w:cs="宋体"/>
          <w:color w:val="auto"/>
          <w:sz w:val="30"/>
          <w:szCs w:val="30"/>
        </w:rPr>
        <w:t>采购回来的实训设备未达到项目绩效论证报告所列预期目标的，追究主体责任。</w:t>
      </w:r>
    </w:p>
    <w:p>
      <w:pPr>
        <w:keepNext w:val="0"/>
        <w:keepLines w:val="0"/>
        <w:pageBreakBefore w:val="0"/>
        <w:widowControl w:val="0"/>
        <w:tabs>
          <w:tab w:val="left" w:pos="6840"/>
        </w:tabs>
        <w:kinsoku/>
        <w:overflowPunct/>
        <w:topLinePunct w:val="0"/>
        <w:autoSpaceDE w:val="0"/>
        <w:autoSpaceDN w:val="0"/>
        <w:bidi w:val="0"/>
        <w:adjustRightInd w:val="0"/>
        <w:snapToGrid w:val="0"/>
        <w:spacing w:after="0" w:afterLines="0" w:line="360" w:lineRule="auto"/>
        <w:ind w:firstLine="600" w:firstLineChars="200"/>
        <w:textAlignment w:val="center"/>
        <w:outlineLvl w:val="9"/>
        <w:rPr>
          <w:rFonts w:hint="eastAsia" w:ascii="仿宋" w:hAnsi="仿宋" w:eastAsia="仿宋" w:cs="宋体"/>
          <w:color w:val="auto"/>
          <w:sz w:val="30"/>
          <w:szCs w:val="30"/>
        </w:rPr>
      </w:pPr>
      <w:r>
        <w:rPr>
          <w:rFonts w:hint="eastAsia" w:ascii="仿宋" w:hAnsi="仿宋" w:eastAsia="仿宋" w:cs="宋体"/>
          <w:color w:val="auto"/>
          <w:sz w:val="30"/>
          <w:szCs w:val="30"/>
          <w:lang w:val="en-US" w:eastAsia="zh-CN"/>
        </w:rPr>
        <w:t>5</w:t>
      </w:r>
      <w:r>
        <w:rPr>
          <w:rFonts w:hint="eastAsia" w:ascii="仿宋" w:hAnsi="仿宋" w:eastAsia="仿宋" w:cs="宋体"/>
          <w:color w:val="auto"/>
          <w:sz w:val="30"/>
          <w:szCs w:val="30"/>
          <w:lang w:eastAsia="zh-CN"/>
        </w:rPr>
        <w:t>.</w:t>
      </w:r>
      <w:r>
        <w:rPr>
          <w:rFonts w:hint="eastAsia" w:ascii="仿宋" w:hAnsi="仿宋" w:eastAsia="仿宋" w:cs="宋体"/>
          <w:color w:val="auto"/>
          <w:sz w:val="30"/>
          <w:szCs w:val="30"/>
        </w:rPr>
        <w:t>设备接入学校大型仪器设备物联共享系统，在满足本单位使用需求的同时，对学校其它学科及社会开放共享。</w:t>
      </w:r>
    </w:p>
    <w:p>
      <w:pPr>
        <w:keepNext w:val="0"/>
        <w:keepLines w:val="0"/>
        <w:pageBreakBefore w:val="0"/>
        <w:widowControl w:val="0"/>
        <w:tabs>
          <w:tab w:val="left" w:pos="6840"/>
        </w:tabs>
        <w:kinsoku/>
        <w:overflowPunct/>
        <w:topLinePunct w:val="0"/>
        <w:autoSpaceDE w:val="0"/>
        <w:autoSpaceDN w:val="0"/>
        <w:bidi w:val="0"/>
        <w:adjustRightInd w:val="0"/>
        <w:snapToGrid w:val="0"/>
        <w:spacing w:after="0" w:afterLines="0" w:line="360" w:lineRule="auto"/>
        <w:ind w:firstLine="600" w:firstLineChars="200"/>
        <w:textAlignment w:val="center"/>
        <w:outlineLvl w:val="9"/>
        <w:rPr>
          <w:rFonts w:hint="eastAsia" w:ascii="仿宋" w:hAnsi="仿宋" w:eastAsia="仿宋" w:cs="宋体"/>
          <w:color w:val="auto"/>
          <w:sz w:val="30"/>
          <w:szCs w:val="30"/>
        </w:rPr>
      </w:pPr>
      <w:r>
        <w:rPr>
          <w:rFonts w:hint="eastAsia" w:ascii="仿宋" w:hAnsi="仿宋" w:eastAsia="仿宋" w:cs="宋体"/>
          <w:color w:val="auto"/>
          <w:sz w:val="30"/>
          <w:szCs w:val="30"/>
          <w:lang w:val="en-US" w:eastAsia="zh-CN"/>
        </w:rPr>
        <w:t>6</w:t>
      </w:r>
      <w:r>
        <w:rPr>
          <w:rFonts w:hint="eastAsia" w:ascii="仿宋" w:hAnsi="仿宋" w:eastAsia="仿宋" w:cs="宋体"/>
          <w:color w:val="auto"/>
          <w:sz w:val="30"/>
          <w:szCs w:val="30"/>
          <w:lang w:eastAsia="zh-CN"/>
        </w:rPr>
        <w:t>.</w:t>
      </w:r>
      <w:r>
        <w:rPr>
          <w:rFonts w:hint="eastAsia" w:ascii="仿宋" w:hAnsi="仿宋" w:eastAsia="仿宋" w:cs="宋体"/>
          <w:color w:val="auto"/>
          <w:sz w:val="30"/>
          <w:szCs w:val="30"/>
        </w:rPr>
        <w:t>新采购实训设备完成验收后，学院每学年将组织对所采购设备的利用情况进行专项检查，对检查发现问题的单位和负责人，追究主体责任。</w:t>
      </w:r>
    </w:p>
    <w:p>
      <w:pPr>
        <w:keepNext w:val="0"/>
        <w:keepLines w:val="0"/>
        <w:pageBreakBefore w:val="0"/>
        <w:widowControl w:val="0"/>
        <w:tabs>
          <w:tab w:val="left" w:pos="6840"/>
        </w:tabs>
        <w:kinsoku/>
        <w:wordWrap w:val="0"/>
        <w:overflowPunct/>
        <w:topLinePunct w:val="0"/>
        <w:autoSpaceDE w:val="0"/>
        <w:autoSpaceDN w:val="0"/>
        <w:bidi w:val="0"/>
        <w:adjustRightInd w:val="0"/>
        <w:snapToGrid w:val="0"/>
        <w:spacing w:after="0" w:afterLines="0" w:line="360" w:lineRule="auto"/>
        <w:jc w:val="both"/>
        <w:textAlignment w:val="center"/>
        <w:outlineLvl w:val="9"/>
        <w:rPr>
          <w:rFonts w:hint="eastAsia" w:ascii="仿宋" w:hAnsi="仿宋" w:eastAsia="仿宋" w:cs="宋体"/>
          <w:color w:val="auto"/>
          <w:sz w:val="30"/>
          <w:szCs w:val="30"/>
        </w:rPr>
      </w:pPr>
      <w:r>
        <w:rPr>
          <w:rFonts w:hint="eastAsia" w:ascii="仿宋" w:hAnsi="仿宋" w:eastAsia="仿宋" w:cs="宋体"/>
          <w:color w:val="auto"/>
          <w:sz w:val="30"/>
          <w:szCs w:val="30"/>
        </w:rPr>
        <w:t>甲    方：湄洲湾职业技术学院</w:t>
      </w:r>
    </w:p>
    <w:p>
      <w:pPr>
        <w:keepNext w:val="0"/>
        <w:keepLines w:val="0"/>
        <w:pageBreakBefore w:val="0"/>
        <w:widowControl w:val="0"/>
        <w:tabs>
          <w:tab w:val="left" w:pos="6840"/>
        </w:tabs>
        <w:kinsoku/>
        <w:overflowPunct/>
        <w:topLinePunct w:val="0"/>
        <w:autoSpaceDE w:val="0"/>
        <w:autoSpaceDN w:val="0"/>
        <w:bidi w:val="0"/>
        <w:adjustRightInd w:val="0"/>
        <w:snapToGrid w:val="0"/>
        <w:spacing w:after="0" w:afterLines="0" w:line="360" w:lineRule="auto"/>
        <w:ind w:firstLine="600" w:firstLineChars="200"/>
        <w:textAlignment w:val="center"/>
        <w:outlineLvl w:val="9"/>
        <w:rPr>
          <w:rFonts w:hint="default" w:ascii="仿宋" w:hAnsi="仿宋" w:eastAsia="仿宋" w:cs="宋体"/>
          <w:color w:val="auto"/>
          <w:sz w:val="30"/>
          <w:szCs w:val="30"/>
          <w:lang w:val="en-US" w:eastAsia="zh-CN"/>
        </w:rPr>
      </w:pPr>
      <w:r>
        <w:rPr>
          <w:rFonts w:hint="eastAsia" w:ascii="仿宋" w:hAnsi="仿宋" w:eastAsia="仿宋" w:cs="宋体"/>
          <w:color w:val="auto"/>
          <w:sz w:val="30"/>
          <w:szCs w:val="30"/>
        </w:rPr>
        <w:t>乙方代表（签名）：</w:t>
      </w:r>
      <w:r>
        <w:rPr>
          <w:rFonts w:hint="eastAsia" w:ascii="仿宋" w:hAnsi="仿宋" w:eastAsia="仿宋" w:cs="宋体"/>
          <w:color w:val="auto"/>
          <w:sz w:val="30"/>
          <w:szCs w:val="30"/>
          <w:u w:val="single"/>
          <w:lang w:val="en-US" w:eastAsia="zh-CN"/>
        </w:rPr>
        <w:t xml:space="preserve">                   </w:t>
      </w:r>
    </w:p>
    <w:p>
      <w:pPr>
        <w:keepNext w:val="0"/>
        <w:keepLines w:val="0"/>
        <w:pageBreakBefore w:val="0"/>
        <w:widowControl w:val="0"/>
        <w:tabs>
          <w:tab w:val="left" w:pos="6840"/>
        </w:tabs>
        <w:kinsoku/>
        <w:overflowPunct/>
        <w:topLinePunct w:val="0"/>
        <w:autoSpaceDE w:val="0"/>
        <w:autoSpaceDN w:val="0"/>
        <w:bidi w:val="0"/>
        <w:adjustRightInd w:val="0"/>
        <w:snapToGrid w:val="0"/>
        <w:spacing w:after="0" w:afterLines="0" w:line="360" w:lineRule="auto"/>
        <w:ind w:firstLine="600" w:firstLineChars="200"/>
        <w:textAlignment w:val="center"/>
        <w:outlineLvl w:val="9"/>
        <w:rPr>
          <w:rFonts w:hint="default" w:ascii="仿宋" w:hAnsi="仿宋" w:eastAsia="仿宋" w:cs="宋体"/>
          <w:color w:val="auto"/>
          <w:sz w:val="30"/>
          <w:szCs w:val="30"/>
          <w:lang w:val="en-US" w:eastAsia="zh-CN"/>
        </w:rPr>
      </w:pPr>
      <w:r>
        <w:rPr>
          <w:rFonts w:hint="eastAsia" w:ascii="仿宋" w:hAnsi="仿宋" w:eastAsia="仿宋" w:cs="宋体"/>
          <w:color w:val="auto"/>
          <w:sz w:val="30"/>
          <w:szCs w:val="30"/>
        </w:rPr>
        <w:t>丙    方（签名）：</w:t>
      </w:r>
      <w:r>
        <w:rPr>
          <w:rFonts w:hint="eastAsia" w:ascii="仿宋" w:hAnsi="仿宋" w:eastAsia="仿宋" w:cs="宋体"/>
          <w:color w:val="auto"/>
          <w:sz w:val="30"/>
          <w:szCs w:val="30"/>
          <w:u w:val="single"/>
          <w:lang w:val="en-US" w:eastAsia="zh-CN"/>
        </w:rPr>
        <w:t xml:space="preserve">                   </w:t>
      </w:r>
    </w:p>
    <w:p>
      <w:pPr>
        <w:jc w:val="right"/>
        <w:rPr>
          <w:rFonts w:hint="default"/>
          <w:color w:val="auto"/>
          <w:sz w:val="30"/>
          <w:szCs w:val="30"/>
          <w:lang w:val="en-US" w:eastAsia="zh-CN"/>
        </w:rPr>
      </w:pPr>
      <w:r>
        <w:rPr>
          <w:rFonts w:hint="eastAsia" w:ascii="仿宋" w:hAnsi="仿宋" w:eastAsia="仿宋" w:cs="宋体"/>
          <w:color w:val="auto"/>
          <w:sz w:val="30"/>
          <w:szCs w:val="30"/>
          <w:lang w:val="en-US" w:eastAsia="zh-CN"/>
        </w:rPr>
        <w:t>2023</w:t>
      </w:r>
      <w:r>
        <w:rPr>
          <w:rFonts w:hint="eastAsia" w:ascii="仿宋" w:hAnsi="仿宋" w:eastAsia="仿宋" w:cs="宋体"/>
          <w:color w:val="auto"/>
          <w:sz w:val="30"/>
          <w:szCs w:val="30"/>
        </w:rPr>
        <w:t>年</w:t>
      </w:r>
      <w:r>
        <w:rPr>
          <w:rFonts w:hint="eastAsia" w:ascii="仿宋" w:hAnsi="仿宋" w:eastAsia="仿宋" w:cs="宋体"/>
          <w:color w:val="auto"/>
          <w:sz w:val="30"/>
          <w:szCs w:val="30"/>
          <w:lang w:val="en-US" w:eastAsia="zh-CN"/>
        </w:rPr>
        <w:t xml:space="preserve">  </w:t>
      </w:r>
      <w:r>
        <w:rPr>
          <w:rFonts w:hint="eastAsia" w:ascii="仿宋" w:hAnsi="仿宋" w:eastAsia="仿宋" w:cs="宋体"/>
          <w:color w:val="auto"/>
          <w:sz w:val="30"/>
          <w:szCs w:val="30"/>
        </w:rPr>
        <w:t>月</w:t>
      </w:r>
      <w:r>
        <w:rPr>
          <w:rFonts w:hint="eastAsia" w:ascii="仿宋" w:hAnsi="仿宋" w:eastAsia="仿宋" w:cs="宋体"/>
          <w:color w:val="auto"/>
          <w:sz w:val="30"/>
          <w:szCs w:val="30"/>
          <w:lang w:val="en-US" w:eastAsia="zh-CN"/>
        </w:rPr>
        <w:t xml:space="preserve">  </w:t>
      </w:r>
      <w:r>
        <w:rPr>
          <w:rFonts w:hint="eastAsia" w:ascii="仿宋" w:hAnsi="仿宋" w:eastAsia="仿宋" w:cs="宋体"/>
          <w:color w:val="auto"/>
          <w:sz w:val="30"/>
          <w:szCs w:val="30"/>
        </w:rPr>
        <w:t>日</w:t>
      </w:r>
    </w:p>
    <w:p/>
    <w:sectPr>
      <w:headerReference r:id="rId7" w:type="default"/>
      <w:footerReference r:id="rId8"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方正舒体"/>
    <w:panose1 w:val="02010601030101010101"/>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pacing w:after="60"/>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pacing w:after="6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pacing w:after="60"/>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60"/>
      <w:ind w:firstLine="480"/>
      <w:jc w:val="right"/>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60"/>
      <w:ind w:firstLine="480"/>
      <w:jc w:val="right"/>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60"/>
      <w:ind w:firstLine="480"/>
      <w:jc w:val="right"/>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2AFA8D"/>
    <w:multiLevelType w:val="singleLevel"/>
    <w:tmpl w:val="D02AFA8D"/>
    <w:lvl w:ilvl="0" w:tentative="0">
      <w:start w:val="1"/>
      <w:numFmt w:val="decimal"/>
      <w:lvlText w:val="%1."/>
      <w:lvlJc w:val="left"/>
      <w:pPr>
        <w:ind w:left="425" w:hanging="425"/>
      </w:pPr>
      <w:rPr>
        <w:rFonts w:hint="default"/>
      </w:rPr>
    </w:lvl>
  </w:abstractNum>
  <w:abstractNum w:abstractNumId="1">
    <w:nsid w:val="22B9570D"/>
    <w:multiLevelType w:val="multilevel"/>
    <w:tmpl w:val="22B9570D"/>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217C94F"/>
    <w:multiLevelType w:val="singleLevel"/>
    <w:tmpl w:val="6217C94F"/>
    <w:lvl w:ilvl="0" w:tentative="0">
      <w:start w:val="5"/>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3ZjdkZjBjMWUwNWQzNDllOTdjM2IxM2Y4NDI2Y2YifQ=="/>
  </w:docVars>
  <w:rsids>
    <w:rsidRoot w:val="00000000"/>
    <w:rsid w:val="1483192E"/>
    <w:rsid w:val="37A312A6"/>
    <w:rsid w:val="3C4446E8"/>
    <w:rsid w:val="501E5863"/>
    <w:rsid w:val="52E213C5"/>
    <w:rsid w:val="5776213C"/>
    <w:rsid w:val="5947124D"/>
    <w:rsid w:val="5C6F4B32"/>
    <w:rsid w:val="5F7106A4"/>
    <w:rsid w:val="62E57764"/>
    <w:rsid w:val="7258372B"/>
    <w:rsid w:val="74921BB1"/>
    <w:rsid w:val="75880FCC"/>
    <w:rsid w:val="76287095"/>
    <w:rsid w:val="7737447F"/>
    <w:rsid w:val="79E24ADD"/>
    <w:rsid w:val="7BAB196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rFonts w:ascii="Calibri" w:hAnsi="Calibri" w:cs="Times New Roman"/>
      <w:b/>
      <w:bCs/>
      <w:kern w:val="44"/>
      <w:sz w:val="44"/>
      <w:szCs w:val="44"/>
    </w:rPr>
  </w:style>
  <w:style w:type="paragraph" w:styleId="4">
    <w:name w:val="heading 3"/>
    <w:basedOn w:val="1"/>
    <w:next w:val="5"/>
    <w:qFormat/>
    <w:uiPriority w:val="0"/>
    <w:pPr>
      <w:keepNext/>
      <w:keepLines/>
      <w:spacing w:before="260" w:beforeLines="0" w:beforeAutospacing="0" w:after="260" w:afterLines="0" w:afterAutospacing="0" w:line="413" w:lineRule="auto"/>
      <w:outlineLvl w:val="2"/>
    </w:pPr>
    <w:rPr>
      <w:b/>
      <w:kern w:val="0"/>
      <w:sz w:val="30"/>
    </w:rPr>
  </w:style>
  <w:style w:type="character" w:default="1" w:styleId="16">
    <w:name w:val="Default Paragraph Font"/>
    <w:semiHidden/>
    <w:qFormat/>
    <w:uiPriority w:val="0"/>
  </w:style>
  <w:style w:type="table" w:default="1" w:styleId="14">
    <w:name w:val="Normal Table"/>
    <w:semiHidden/>
    <w:uiPriority w:val="0"/>
    <w:tblPr>
      <w:tblCellMar>
        <w:top w:w="0" w:type="dxa"/>
        <w:left w:w="108" w:type="dxa"/>
        <w:bottom w:w="0" w:type="dxa"/>
        <w:right w:w="108" w:type="dxa"/>
      </w:tblCellMar>
    </w:tblPr>
  </w:style>
  <w:style w:type="paragraph" w:styleId="2">
    <w:name w:val="Title"/>
    <w:basedOn w:val="1"/>
    <w:next w:val="1"/>
    <w:qFormat/>
    <w:uiPriority w:val="0"/>
    <w:pPr>
      <w:spacing w:beforeLines="50" w:afterLines="50"/>
      <w:jc w:val="center"/>
      <w:outlineLvl w:val="0"/>
    </w:pPr>
    <w:rPr>
      <w:rFonts w:ascii="Arial" w:hAnsi="Arial"/>
      <w:b/>
      <w:i/>
      <w:sz w:val="44"/>
    </w:rPr>
  </w:style>
  <w:style w:type="paragraph" w:styleId="5">
    <w:name w:val="Normal Indent"/>
    <w:basedOn w:val="1"/>
    <w:qFormat/>
    <w:uiPriority w:val="0"/>
    <w:pPr>
      <w:ind w:firstLine="420" w:firstLineChars="200"/>
    </w:pPr>
    <w:rPr>
      <w:rFonts w:ascii="Times New Roman" w:hAnsi="Times New Roman" w:eastAsia="宋体" w:cs="Times New Roman"/>
      <w:szCs w:val="20"/>
    </w:rPr>
  </w:style>
  <w:style w:type="paragraph" w:styleId="6">
    <w:name w:val="annotation text"/>
    <w:basedOn w:val="1"/>
    <w:unhideWhenUsed/>
    <w:qFormat/>
    <w:uiPriority w:val="99"/>
    <w:pPr>
      <w:jc w:val="left"/>
    </w:pPr>
  </w:style>
  <w:style w:type="paragraph" w:styleId="7">
    <w:name w:val="Body Text Indent"/>
    <w:basedOn w:val="1"/>
    <w:next w:val="8"/>
    <w:qFormat/>
    <w:uiPriority w:val="0"/>
    <w:pPr>
      <w:spacing w:after="120"/>
      <w:ind w:left="420" w:leftChars="200"/>
    </w:pPr>
    <w:rPr>
      <w:rFonts w:ascii="Times New Roman" w:hAnsi="Times New Roman" w:eastAsia="宋体" w:cs="Times New Roman"/>
      <w:szCs w:val="24"/>
    </w:rPr>
  </w:style>
  <w:style w:type="paragraph" w:customStyle="1" w:styleId="8">
    <w:name w:val="TOC 61"/>
    <w:next w:val="1"/>
    <w:qFormat/>
    <w:uiPriority w:val="99"/>
    <w:pPr>
      <w:wordWrap w:val="0"/>
      <w:ind w:left="2125"/>
      <w:jc w:val="both"/>
    </w:pPr>
    <w:rPr>
      <w:rFonts w:ascii="Times New Roman" w:hAnsi="Times New Roman" w:eastAsia="宋体" w:cs="Times New Roman"/>
      <w:kern w:val="0"/>
      <w:sz w:val="21"/>
      <w:szCs w:val="20"/>
      <w:lang w:val="en-US" w:eastAsia="zh-CN" w:bidi="ar-SA"/>
    </w:rPr>
  </w:style>
  <w:style w:type="paragraph" w:styleId="9">
    <w:name w:val="footer"/>
    <w:basedOn w:val="1"/>
    <w:uiPriority w:val="0"/>
    <w:pPr>
      <w:tabs>
        <w:tab w:val="center" w:pos="4153"/>
        <w:tab w:val="right" w:pos="8306"/>
      </w:tabs>
      <w:spacing w:line="240" w:lineRule="auto"/>
    </w:pPr>
    <w:rPr>
      <w:sz w:val="18"/>
      <w:szCs w:val="18"/>
    </w:rPr>
  </w:style>
  <w:style w:type="paragraph" w:styleId="10">
    <w:name w:val="index heading"/>
    <w:basedOn w:val="1"/>
    <w:next w:val="11"/>
    <w:qFormat/>
    <w:uiPriority w:val="0"/>
  </w:style>
  <w:style w:type="paragraph" w:styleId="11">
    <w:name w:val="index 1"/>
    <w:basedOn w:val="1"/>
    <w:next w:val="1"/>
    <w:qFormat/>
    <w:uiPriority w:val="0"/>
  </w:style>
  <w:style w:type="paragraph" w:styleId="12">
    <w:name w:val="Normal (Web)"/>
    <w:basedOn w:val="1"/>
    <w:uiPriority w:val="0"/>
    <w:pPr>
      <w:spacing w:before="100" w:beforeAutospacing="1" w:after="100" w:afterAutospacing="1"/>
      <w:ind w:left="0" w:right="0"/>
      <w:jc w:val="left"/>
    </w:pPr>
    <w:rPr>
      <w:kern w:val="0"/>
      <w:sz w:val="24"/>
      <w:lang w:val="en-US" w:eastAsia="zh-CN" w:bidi="ar"/>
    </w:rPr>
  </w:style>
  <w:style w:type="paragraph" w:styleId="13">
    <w:name w:val="Body Text First Indent 2"/>
    <w:basedOn w:val="7"/>
    <w:next w:val="1"/>
    <w:unhideWhenUsed/>
    <w:qFormat/>
    <w:uiPriority w:val="99"/>
    <w:pPr>
      <w:spacing w:after="0" w:line="600" w:lineRule="atLeast"/>
      <w:ind w:left="0" w:leftChars="0" w:firstLine="420" w:firstLineChars="200"/>
    </w:pPr>
    <w:rPr>
      <w:rFonts w:ascii="宋体" w:hAnsi="宋体" w:eastAsia="宋体" w:cs="Times New Roman"/>
      <w:szCs w:val="20"/>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paragraph" w:styleId="18">
    <w:name w:val="List Paragraph"/>
    <w:basedOn w:val="1"/>
    <w:qFormat/>
    <w:uiPriority w:val="34"/>
    <w:pPr>
      <w:ind w:firstLine="420" w:firstLineChars="200"/>
    </w:pPr>
  </w:style>
  <w:style w:type="paragraph" w:customStyle="1" w:styleId="19">
    <w:name w:val="表格"/>
    <w:basedOn w:val="1"/>
    <w:qFormat/>
    <w:uiPriority w:val="0"/>
    <w:pPr>
      <w:ind w:left="-108" w:right="-108"/>
      <w:jc w:val="center"/>
    </w:pPr>
  </w:style>
  <w:style w:type="character" w:customStyle="1" w:styleId="20">
    <w:name w:val="font11"/>
    <w:basedOn w:val="16"/>
    <w:uiPriority w:val="0"/>
    <w:rPr>
      <w:rFonts w:hint="eastAsia" w:ascii="宋体" w:hAnsi="宋体" w:eastAsia="宋体" w:cs="宋体"/>
      <w:color w:val="000000"/>
      <w:sz w:val="22"/>
      <w:szCs w:val="22"/>
      <w:u w:val="none"/>
    </w:rPr>
  </w:style>
  <w:style w:type="character" w:customStyle="1" w:styleId="21">
    <w:name w:val="font31"/>
    <w:basedOn w:val="16"/>
    <w:uiPriority w:val="0"/>
    <w:rPr>
      <w:rFonts w:hint="eastAsia" w:ascii="宋体" w:hAnsi="宋体" w:eastAsia="宋体" w:cs="宋体"/>
      <w:color w:val="333333"/>
      <w:sz w:val="22"/>
      <w:szCs w:val="22"/>
      <w:u w:val="none"/>
    </w:rPr>
  </w:style>
  <w:style w:type="character" w:customStyle="1" w:styleId="22">
    <w:name w:val="font21"/>
    <w:basedOn w:val="16"/>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29</Pages>
  <Words>13445</Words>
  <Characters>15119</Characters>
  <Lines>1</Lines>
  <Paragraphs>1</Paragraphs>
  <TotalTime>12</TotalTime>
  <ScaleCrop>false</ScaleCrop>
  <LinksUpToDate>false</LinksUpToDate>
  <CharactersWithSpaces>16375</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2023-01-03T02:09:00Z</dcterms:created>
  <dc:creator>13400</dc:creator>
  <cp:lastModifiedBy>S.Y.L</cp:lastModifiedBy>
  <dcterms:modified xsi:type="dcterms:W3CDTF">2023-02-24T02:55:37Z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99C676E8658940DFADFB54AC3B2F8533</vt:lpwstr>
  </property>
</Properties>
</file>