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0" w:firstLineChars="0"/>
        <w:jc w:val="center"/>
        <w:rPr>
          <w:rFonts w:hint="eastAsia" w:ascii="宋体" w:hAnsi="宋体" w:eastAsia="宋体" w:cs="Times New Roman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Times New Roman"/>
          <w:b/>
          <w:sz w:val="30"/>
          <w:szCs w:val="30"/>
        </w:rPr>
        <w:t>零部件测绘实训室</w:t>
      </w:r>
      <w:r>
        <w:rPr>
          <w:rFonts w:hint="eastAsia" w:ascii="宋体" w:hAnsi="宋体" w:eastAsia="宋体" w:cs="Times New Roman"/>
          <w:b/>
          <w:sz w:val="30"/>
          <w:szCs w:val="30"/>
          <w:lang w:val="en-US" w:eastAsia="zh-CN"/>
        </w:rPr>
        <w:t>设备采购项目</w:t>
      </w:r>
    </w:p>
    <w:p>
      <w:pPr>
        <w:spacing w:line="360" w:lineRule="auto"/>
        <w:ind w:firstLine="0" w:firstLineChars="0"/>
        <w:rPr>
          <w:rFonts w:hint="eastAsia" w:ascii="宋体" w:hAnsi="宋体" w:eastAsia="宋体" w:cs="Times New Roman"/>
          <w:color w:val="FF0000"/>
          <w:sz w:val="28"/>
          <w:szCs w:val="28"/>
        </w:rPr>
      </w:pPr>
    </w:p>
    <w:p>
      <w:pPr>
        <w:spacing w:line="400" w:lineRule="exact"/>
        <w:ind w:firstLine="0" w:firstLineChars="0"/>
        <w:rPr>
          <w:rFonts w:hint="eastAsia"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一、项目概况</w:t>
      </w:r>
    </w:p>
    <w:p>
      <w:pPr>
        <w:pStyle w:val="7"/>
        <w:widowControl/>
        <w:spacing w:line="400" w:lineRule="atLeast"/>
        <w:ind w:right="147" w:firstLine="480" w:firstLineChars="200"/>
        <w:jc w:val="both"/>
        <w:rPr>
          <w:rFonts w:hint="eastAsia" w:ascii="宋体" w:hAnsi="宋体" w:eastAsia="宋体" w:cs="Times New Roman"/>
          <w:color w:val="000000"/>
        </w:rPr>
      </w:pPr>
      <w:r>
        <w:rPr>
          <w:rFonts w:hint="eastAsia" w:ascii="宋体" w:hAnsi="宋体" w:eastAsia="宋体" w:cs="Times New Roman"/>
          <w:color w:val="000000"/>
          <w:kern w:val="2"/>
        </w:rPr>
        <w:t>进一步提高人才培养质量做好教学工作，立足长远，以实体为依托，打造服务教学、融合校企合作，满足技术服务、技能竞赛基地为一体的实习实训基地。同时，通过项目建设推动实训基地的建设发展，促进职业教育实训基地的建设与完善。</w:t>
      </w:r>
    </w:p>
    <w:p>
      <w:pPr>
        <w:spacing w:line="400" w:lineRule="exact"/>
        <w:ind w:firstLine="0" w:firstLineChars="0"/>
        <w:rPr>
          <w:rFonts w:hint="eastAsia"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二、实训设备采购的必要性</w:t>
      </w:r>
    </w:p>
    <w:p>
      <w:pPr>
        <w:pStyle w:val="7"/>
        <w:widowControl/>
        <w:spacing w:line="400" w:lineRule="exact"/>
        <w:ind w:firstLine="480" w:firstLineChars="200"/>
        <w:rPr>
          <w:rFonts w:hint="eastAsia" w:ascii="宋体" w:hAnsi="宋体" w:eastAsia="宋体" w:cs="Times New Roman"/>
          <w:color w:val="000000"/>
        </w:rPr>
      </w:pPr>
      <w:r>
        <w:rPr>
          <w:rFonts w:hint="eastAsia" w:ascii="宋体" w:hAnsi="宋体" w:eastAsia="宋体" w:cs="Times New Roman"/>
          <w:color w:val="000000"/>
          <w:kern w:val="2"/>
        </w:rPr>
        <w:t>为了加强与行业企业技术要求、工艺流程、管理规范、设备水平同步的实训装备建设，达到教育部发布的专业仪器设备装备规范。推进校企共建的示范性实训基地建设，通过校企合作、引企入校等方式，校企共建兼具生产、教学和研发功能的实训基地，依托重点专业（群）共建创新创业教育实践平台、产品开发机构等，切实增强职业院校技术技能积累能力和学生就业创业能力。</w:t>
      </w:r>
    </w:p>
    <w:p>
      <w:pPr>
        <w:spacing w:line="400" w:lineRule="exact"/>
        <w:ind w:firstLine="480" w:firstLineChars="200"/>
        <w:rPr>
          <w:rFonts w:hint="eastAsia"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为了促进职业教育实训基地的建设与完善，促进数控技术和机电一体化技术专业的教学改革，本着“立足当前、兼顾发展”的原则和资金的情况，拟对该项目进行建设。</w:t>
      </w:r>
    </w:p>
    <w:p>
      <w:pPr>
        <w:numPr>
          <w:ilvl w:val="0"/>
          <w:numId w:val="3"/>
        </w:numPr>
        <w:spacing w:line="400" w:lineRule="exact"/>
        <w:ind w:firstLine="0" w:firstLineChars="0"/>
        <w:rPr>
          <w:rFonts w:hint="eastAsia"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罗列新设备对应课程及实训项目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3881"/>
        <w:gridCol w:w="1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教学项目</w:t>
            </w: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工作任务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学时分配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01 齿轮泵机构实例</w:t>
            </w: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0101 部件的拆卸与记录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0102 尺寸测量与手绘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0103 二维零件图的CAD绘制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0104 二维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装配图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AD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绘制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02 皮带轮带动槽轮机构实例</w:t>
            </w:r>
          </w:p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0201部件的拆卸与记录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0202 尺寸测量与手绘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0203 零部件图的三维造型及装配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0204 二维零部件图的CAD绘制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0205二维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装配图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AD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绘制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restar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03 ZSB型机构综合应用实例</w:t>
            </w: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0301部件的拆卸与记录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0302尺寸测量与手绘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0303典型零件质量检测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0304 零部件图的三维造型及装配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0305 零部件创新设计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0306 二维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装配图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AD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绘制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0307 二维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装配图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AD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绘制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0308 二维图纸输出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83" w:type="pct"/>
            <w:vMerge w:val="continue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77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60" w:type="pct"/>
            <w:gridSpan w:val="2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740" w:type="pct"/>
            <w:noWrap w:val="0"/>
            <w:vAlign w:val="center"/>
          </w:tcPr>
          <w:p>
            <w:pPr>
              <w:widowControl/>
              <w:spacing w:line="280" w:lineRule="exact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128</w:t>
            </w:r>
          </w:p>
        </w:tc>
      </w:tr>
    </w:tbl>
    <w:p>
      <w:pPr>
        <w:spacing w:line="240" w:lineRule="auto"/>
        <w:ind w:firstLine="0" w:firstLineChars="0"/>
        <w:rPr>
          <w:rFonts w:hint="eastAsia" w:ascii="宋体" w:hAnsi="宋体" w:eastAsia="宋体" w:cs="Times New Roman"/>
          <w:sz w:val="21"/>
          <w:szCs w:val="21"/>
        </w:rPr>
      </w:pPr>
    </w:p>
    <w:p>
      <w:pPr>
        <w:spacing w:line="240" w:lineRule="auto"/>
        <w:ind w:firstLine="0" w:firstLineChars="0"/>
        <w:rPr>
          <w:rFonts w:hint="eastAsia" w:ascii="宋体" w:hAnsi="宋体" w:eastAsia="宋体" w:cs="Times New Roman"/>
          <w:sz w:val="21"/>
          <w:szCs w:val="21"/>
        </w:rPr>
      </w:pPr>
    </w:p>
    <w:p>
      <w:pPr>
        <w:rPr>
          <w:rFonts w:ascii="宋体" w:hAnsi="宋体"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360" w:lineRule="auto"/>
        <w:ind w:firstLine="0" w:firstLineChars="0"/>
        <w:jc w:val="center"/>
        <w:rPr>
          <w:rFonts w:hint="eastAsia"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零部件测绘实训室</w:t>
      </w:r>
      <w:r>
        <w:rPr>
          <w:rFonts w:hint="eastAsia" w:ascii="宋体" w:hAnsi="宋体" w:eastAsia="宋体" w:cs="Times New Roman"/>
          <w:b/>
          <w:sz w:val="24"/>
          <w:szCs w:val="24"/>
          <w:lang w:val="en-US" w:eastAsia="zh-CN"/>
        </w:rPr>
        <w:t>设备采购项目</w:t>
      </w:r>
      <w:r>
        <w:rPr>
          <w:rFonts w:hint="eastAsia" w:ascii="宋体" w:hAnsi="宋体" w:eastAsia="宋体" w:cs="Times New Roman"/>
          <w:b/>
          <w:sz w:val="24"/>
          <w:szCs w:val="24"/>
        </w:rPr>
        <w:t>购置清单预算</w:t>
      </w:r>
    </w:p>
    <w:tbl>
      <w:tblPr>
        <w:tblStyle w:val="8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3502"/>
        <w:gridCol w:w="3578"/>
        <w:gridCol w:w="885"/>
        <w:gridCol w:w="1236"/>
        <w:gridCol w:w="1593"/>
        <w:gridCol w:w="1593"/>
        <w:gridCol w:w="10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25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bookmarkStart w:id="0" w:name="_GoBack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1235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E0E0E0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设备名称</w:t>
            </w:r>
          </w:p>
        </w:tc>
        <w:tc>
          <w:tcPr>
            <w:tcW w:w="12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规格、型号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  <w:t>（主要技术参数）</w:t>
            </w:r>
          </w:p>
        </w:tc>
        <w:tc>
          <w:tcPr>
            <w:tcW w:w="31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43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  <w:t>单价</w:t>
            </w:r>
          </w:p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  <w:t>（元）</w:t>
            </w:r>
          </w:p>
        </w:tc>
        <w:tc>
          <w:tcPr>
            <w:tcW w:w="5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  <w:t>单价来源</w:t>
            </w:r>
          </w:p>
        </w:tc>
        <w:tc>
          <w:tcPr>
            <w:tcW w:w="5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  <w:t>金额</w:t>
            </w:r>
          </w:p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  <w:t>（元）</w:t>
            </w:r>
          </w:p>
        </w:tc>
        <w:tc>
          <w:tcPr>
            <w:tcW w:w="374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aps/>
                <w:sz w:val="21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123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双工位测绘实训台</w:t>
            </w: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双工位</w:t>
            </w:r>
          </w:p>
        </w:tc>
        <w:tc>
          <w:tcPr>
            <w:tcW w:w="3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2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套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6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  <w:t>询价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1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44000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sz w:val="21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123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教师多媒体演示台</w:t>
            </w: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1张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4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  <w:t>询价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4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000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sz w:val="21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123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机械测绘及数字化成图训练体系</w:t>
            </w: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20套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13500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  <w:t>询价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color w:val="FF000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270000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sz w:val="21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123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拆装与测绘组合工具箱</w:t>
            </w: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21"/>
                <w:szCs w:val="24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24套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3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500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  <w:t>询价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8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4000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sz w:val="21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123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绘图仪</w:t>
            </w: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佳能T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M-5300</w:t>
            </w:r>
          </w:p>
        </w:tc>
        <w:tc>
          <w:tcPr>
            <w:tcW w:w="3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1台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35000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  <w:t>询价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3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5000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sz w:val="21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2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123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综合布线</w:t>
            </w: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全钢抗静电地板：HDG600mm*600mm*35mm,防静电，阻燃，能使静电电荷通泄至地，并有一定电磁屏蔽作用，含支柱，钻孔等配件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强弱电布线</w:t>
            </w: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满足实训室实训教学用电需求包含人工、辅材</w:t>
            </w:r>
          </w:p>
        </w:tc>
        <w:tc>
          <w:tcPr>
            <w:tcW w:w="3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1项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7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9000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  <w:t>询价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7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9000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sz w:val="21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123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吊顶</w:t>
            </w: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方通规格：1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*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3.5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*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cm</w:t>
            </w:r>
          </w:p>
        </w:tc>
        <w:tc>
          <w:tcPr>
            <w:tcW w:w="3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1项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1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6500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  <w:t>询价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1</w:t>
            </w:r>
            <w:r>
              <w:rPr>
                <w:rFonts w:ascii="宋体" w:hAnsi="宋体" w:eastAsia="宋体" w:cs="Times New Roman"/>
                <w:sz w:val="21"/>
                <w:szCs w:val="21"/>
              </w:rPr>
              <w:t>6500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FF0000"/>
                <w:sz w:val="21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8</w:t>
            </w:r>
          </w:p>
        </w:tc>
        <w:tc>
          <w:tcPr>
            <w:tcW w:w="1235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计算机</w:t>
            </w: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采用现有系部机房的计算机（学院已建云机房，现有系部计算机可满足要求）</w:t>
            </w:r>
          </w:p>
        </w:tc>
        <w:tc>
          <w:tcPr>
            <w:tcW w:w="31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48台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0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0" w:firstLine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0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FF0000"/>
                <w:sz w:val="21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35" w:type="pct"/>
            <w:tcBorders>
              <w:top w:val="single" w:color="auto" w:sz="4" w:space="0"/>
              <w:left w:val="nil"/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262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rPr>
                <w:rFonts w:hint="eastAsia" w:ascii="宋体" w:hAnsi="宋体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12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ascii="宋体" w:hAnsi="宋体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4"/>
              </w:rPr>
              <w:t>632500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bookmarkEnd w:id="0"/>
    </w:tbl>
    <w:p>
      <w:pPr>
        <w:tabs>
          <w:tab w:val="left" w:pos="9555"/>
        </w:tabs>
        <w:spacing w:line="360" w:lineRule="auto"/>
        <w:ind w:firstLine="10360" w:firstLineChars="4300"/>
        <w:rPr>
          <w:rFonts w:hint="eastAsia" w:ascii="宋体" w:hAnsi="宋体" w:eastAsia="宋体" w:cs="Times New Roman"/>
          <w:b/>
          <w:sz w:val="24"/>
          <w:szCs w:val="24"/>
        </w:rPr>
      </w:pPr>
    </w:p>
    <w:p>
      <w:pPr>
        <w:rPr>
          <w:rFonts w:hint="eastAsia"/>
          <w:b/>
          <w:color w:val="FF0000"/>
          <w:sz w:val="24"/>
        </w:rPr>
        <w:sectPr>
          <w:pgSz w:w="16838" w:h="11906" w:orient="landscape"/>
          <w:pgMar w:top="1247" w:right="1440" w:bottom="1247" w:left="1440" w:header="851" w:footer="992" w:gutter="0"/>
          <w:cols w:space="720" w:num="1"/>
          <w:docGrid w:type="lines" w:linePitch="312" w:charSpace="0"/>
        </w:sectPr>
      </w:pPr>
    </w:p>
    <w:p>
      <w:pPr>
        <w:widowControl/>
        <w:spacing w:line="360" w:lineRule="auto"/>
        <w:ind w:firstLine="0" w:firstLineChars="0"/>
        <w:jc w:val="center"/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</w:rPr>
        <w:t>主要技术参数</w:t>
      </w:r>
    </w:p>
    <w:p>
      <w:pPr>
        <w:spacing w:line="240" w:lineRule="auto"/>
        <w:ind w:firstLine="422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1.双工位测绘实训台</w:t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装置尺寸1800X750X800MM，台面采用不小于25mm厚，其它采用不小于18MM厚多层板，表面贴压优质三聚氢胺饰面。用封边机对板材截面采用优质PVC封边条封边，成品具有不透水，不变形，耐用性强等性能，脚垫：采用ABS材料。</w:t>
      </w:r>
    </w:p>
    <w:p>
      <w:pPr>
        <w:spacing w:line="240" w:lineRule="auto"/>
        <w:ind w:firstLine="0" w:firstLineChars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4417060" cy="2486660"/>
            <wp:effectExtent l="0" t="0" r="2540" b="8890"/>
            <wp:docPr id="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7060" cy="24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脚架：钢铝结构，配4个脚(铝合金梯形管小边外径尺寸61X52MM厚1.4MM，梯形上底内嵌塑料卡条，配ABS注塑脚套，落地配有可调节脚座。）+4条连杆(三角钢管腰长40X45MM厚1.5MM)+4个75X75X55MM铸铝接头，边侧和背面为冲菱形孔0.7钢折板，边缘加方管加强。上围板是1.0钢折板，围板内有60X15MM扁管横梁支撑台面受力，测量平台支撑横梁为50X20MM扁管，绘图板前方受力横梁为25X25MM方管，连杆和立脚表面为砂白色静电喷塑，铝接头表面为黑砂静电喷塑。</w:t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中间放置大理石平板尺寸300X550X50mm，用于零部件测量平台；工位中间为0-70度可调手工绘图板；手工绘图板右边为设有收纳鼠标和笔凹槽的功能板，同时可供鼠标在上面使用。手工绘图板下方是键盘抽。</w:t>
      </w:r>
    </w:p>
    <w:p>
      <w:pPr>
        <w:spacing w:line="240" w:lineRule="auto"/>
        <w:ind w:firstLine="480" w:firstLineChars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980815" cy="2845435"/>
            <wp:effectExtent l="0" t="0" r="635" b="12065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0815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 电脑显示器支架，桌面支撑杆+悬臂+显示器安装架组成，显示器可以实现倾仰、左右、高低全维度调节功能。</w:t>
      </w:r>
    </w:p>
    <w:p>
      <w:pPr>
        <w:spacing w:line="240" w:lineRule="auto"/>
        <w:ind w:firstLine="480" w:firstLineChars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808730" cy="2735580"/>
            <wp:effectExtent l="0" t="0" r="1270" b="7620"/>
            <wp:docPr id="2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873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 悬挂主机架：Ａ、钢制结构，承重：50Kg(±2.5KG)，可根据主机大小调节夹紧。Ｂ、合理利用空间，自由旋转，打扫清理更方便，保养维修更便捷。Ｃ、让电脑远离地气，延长电脑寿命，减少氧化故障。Ｄ、黑砂表面静电喷塑处理。</w:t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6.装置配4个五芯电源插座，通过单相电源插头连接实训室电源上，用于电脑供电及其他用电；</w:t>
      </w:r>
    </w:p>
    <w:p>
      <w:pPr>
        <w:spacing w:line="240" w:lineRule="auto"/>
        <w:ind w:firstLine="436" w:firstLineChars="182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配备：学生凳</w:t>
      </w:r>
    </w:p>
    <w:p>
      <w:pPr>
        <w:spacing w:line="240" w:lineRule="auto"/>
        <w:ind w:firstLine="199" w:firstLineChars="83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1．凳面采用直接330毫米一次性注塑成型。</w:t>
      </w:r>
    </w:p>
    <w:p>
      <w:pPr>
        <w:spacing w:line="240" w:lineRule="auto"/>
        <w:ind w:firstLine="199" w:firstLineChars="83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2．凳脚为钢制，采用30*15MM厚1.2MM扁管脚架，经过模具弯曲焊接而成，带有托盘结构，预冲螺丝孔位，表面静电喷塑处理。无毛刺和鼓包，着地面采用塑胶垫子，防止地面硬伤。</w:t>
      </w:r>
    </w:p>
    <w:p>
      <w:pPr>
        <w:spacing w:line="240" w:lineRule="auto"/>
        <w:ind w:firstLine="422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2.教师多媒体演示台</w:t>
      </w:r>
    </w:p>
    <w:p>
      <w:pPr>
        <w:pStyle w:val="5"/>
        <w:spacing w:line="240" w:lineRule="auto"/>
        <w:ind w:firstLine="0" w:firstLineChars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5035550" cy="3940175"/>
            <wp:effectExtent l="0" t="0" r="12700" b="3175"/>
            <wp:docPr id="2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82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教师多媒体演示台功能特点：</w:t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1.规格：1800×700×850mm(±5MM)；全木结构；</w:t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2.台面采用不小于25MM，台身不小于18MM厚优质多层板,压贴三聚氰胺饰面。</w:t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3.进口封边机对板材截面，采用优质PVC封边条封边，成品具有不透水，不变形，耐用性强等性能，五金配件表面电镀处理。桌脚配ABS注塑专用桌垫。</w:t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4.结构：讲台为一体化设计，设有抽屉及开门边柜，配有通用锁匙锁。讲台中间为显示器翻盖，并设有电源接入通道。边柜可摆放电脑主机、功放、投影仪等多媒体教学设备。</w:t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5.显示器翻盖功能、显示器翻盖带有下翻缓冲器，分左右，缓冲阻尼力可以调节，规格为不小于72.5X44MM。翻转角度为70度，合金铸造受力件，铜制阻尼力调节螺母，合金铸造转轴心，ABS装饰盖。</w:t>
      </w:r>
    </w:p>
    <w:p>
      <w:pPr>
        <w:spacing w:line="240" w:lineRule="auto"/>
        <w:ind w:firstLine="48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6.配有暗拉手，收合后平整、显示器翻盖配有显示器挂架，显示器翻盖尺寸500*375MM（±5MM) 、配有键盘，滑轨为三节滚珠滑轨。</w:t>
      </w:r>
    </w:p>
    <w:p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3.机械测绘及数字化成图训练体系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spacing w:line="24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通过学习《机械测绘及数字化成图》课程，了解测绘流程及方法，会正确使用计算机辅助设计CAD软件和测量工具，为机构设计和制造工艺建立零件和装配模型、工程图纸、设计和工艺解决方案的数字图档文件。本课程配套机械测绘教具箱，进行机构及零部件的测绘、三维建模建模、二维标准出图、零件检测等教学任务，在整个设计过程遵循国家GB标准，了解质量控制，开展团队协作，具备职业素养。</w:t>
      </w:r>
    </w:p>
    <w:p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技术参数：</w:t>
      </w:r>
    </w:p>
    <w:p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测绘教具箱1：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实操机构包含齿轮泵机构、皮带轮带动槽轮机构、测绘ZSB型机构实例各1套，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主要机构零部件材质为金属材质，整体装配能够实现运动；</w:t>
      </w:r>
    </w:p>
    <w:p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1.齿轮泵机构</w:t>
      </w:r>
    </w:p>
    <w:p>
      <w:pPr>
        <w:widowControl/>
        <w:spacing w:line="240" w:lineRule="auto"/>
        <w:ind w:firstLine="0" w:firstLineChars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1866900" cy="1599565"/>
            <wp:effectExtent l="0" t="0" r="0" b="635"/>
            <wp:docPr id="26" name="图片 2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一、实验装置功能：</w:t>
      </w: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1.整体装置可组合拆装；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二、零部件测绘实验机构内须包括：</w:t>
      </w: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1、前端盖、后端盖、齿槽、齿轮、长轴、短轴</w:t>
      </w: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tabs>
          <w:tab w:val="left" w:pos="810"/>
          <w:tab w:val="center" w:pos="4153"/>
        </w:tabs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皮带轮带动槽轮机构</w:t>
      </w:r>
    </w:p>
    <w:p>
      <w:pPr>
        <w:widowControl/>
        <w:spacing w:line="240" w:lineRule="auto"/>
        <w:ind w:firstLine="0" w:firstLineChars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2351405" cy="1780540"/>
            <wp:effectExtent l="0" t="0" r="10795" b="1016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17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一、实验装置功能：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1.整体装置可组合拆装；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2.整体装置可实现四种以上传动机构；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二、零部件测绘实验机构内须包括：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1、轴类零件：齿轮输出轴、齿轮输入轴、同步轮轴、手轮轴各1个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2、箱体类零件：齿轮箱体、齿轮箱盖各1个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3、盘类零件：基座、偏心传动盘、槽轮、槽轮盘各1个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4、支架类零件：滑块支架、偏心传动支架、连杆、滑块、连杆、偏心传动块、滑块连杆、手柄各1个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5、标准件：同步带轮、齿轮各1对、平键1个、内六角螺栓和螺钉若干；垫片、卡环、弹簧垫圈、轴承、卡环等若干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三、教学配套：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1、2D装配图；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2、3D装配效果图；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3、整套组合机构拆装视频Mp4； </w:t>
      </w:r>
    </w:p>
    <w:p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测绘ZSB型机构</w:t>
      </w:r>
    </w:p>
    <w:p>
      <w:pPr>
        <w:widowControl/>
        <w:spacing w:line="240" w:lineRule="auto"/>
        <w:ind w:firstLine="0" w:firstLineChars="0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2505710" cy="1894205"/>
            <wp:effectExtent l="0" t="0" r="8890" b="10795"/>
            <wp:docPr id="2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一、实验装置功能：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1.整体装置可组合拆装；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2.整体装置可实现两种以上传动机构；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二、零部件测绘实验机构内须包括：</w:t>
      </w:r>
    </w:p>
    <w:p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1、箱体上端盖、箱体固定座、箱体固定底板、鉦接法兰、法兰轴（春）、鉦接春、鉦杆、鉦接块、鉦杆支撑座、端盖、锥齿轮、法兰、锥齿轮轴（春）、法兰端盖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机械测绘及数字化成图课程资源：整体课程教学资源包括每个案例的软件设计及制作实操教学视频、教学ppt、知识页、训练单卡，测绘零件及装配配套三维数据文件、二维工程图文件； </w:t>
      </w:r>
    </w:p>
    <w:tbl>
      <w:tblPr>
        <w:tblStyle w:val="8"/>
        <w:tblW w:w="0" w:type="auto"/>
        <w:tblInd w:w="2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1933"/>
        <w:gridCol w:w="2068"/>
        <w:gridCol w:w="990"/>
        <w:gridCol w:w="39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工作任务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学时分配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课程资源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齿轮泵机构实例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部件的拆卸与记录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尺寸测量与手绘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二维零件图的CAD绘制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教学视频、教学ppt、知识页、训练单卡、二维工程图文件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二维装配图CAD绘制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教学视频、教学ppt、知识页、训练单卡、二维工程图文件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皮带轮带动槽轮机构实例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部件的拆卸与记录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尺寸测量与手绘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零部件图的三维造型及装配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二维零部件图的CAD绘制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教学视频、教学ppt、知识页、训练单卡、二维工程图文件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二维装配图CAD绘制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教学视频、教学ppt、知识页、训练单卡、二维工程图文件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ZSB型机构综合应用实例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部件的拆卸与记录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尺寸测量与手绘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典型零件质量检测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教学视频、教学ppt、知识页、训练单卡、三维数据文件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零部件图的三维造型及装配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教学视频、教学ppt、知识页、训练单卡、三维数据文件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零部件创新设计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教学视频、教学ppt、知识页、训练单卡、三维数据文件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二维零件图CAD绘制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教学视频、教学ppt、知识页、训练单卡、二维工程图文件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二维装配图CAD绘制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教学视频、教学ppt、知识页、训练单卡、二维工程图文件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二维图纸输出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教学视频、教学ppt、知识页、训练单卡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128学时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240" w:lineRule="auto"/>
        <w:ind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4.拆装与测绘组合工具箱</w:t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bCs/>
          <w:sz w:val="24"/>
          <w:szCs w:val="24"/>
        </w:rPr>
      </w:pPr>
    </w:p>
    <w:p>
      <w:pPr>
        <w:spacing w:line="240" w:lineRule="auto"/>
        <w:ind w:firstLine="0" w:firstLineChars="0"/>
        <w:jc w:val="center"/>
        <w:rPr>
          <w:rFonts w:hint="eastAsia" w:ascii="宋体" w:hAnsi="宋体" w:eastAsia="宋体" w:cs="宋体"/>
          <w:b/>
          <w:sz w:val="24"/>
          <w:szCs w:val="24"/>
          <w:lang w:val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drawing>
          <wp:inline distT="0" distB="0" distL="114300" distR="114300">
            <wp:extent cx="2171700" cy="2536825"/>
            <wp:effectExtent l="0" t="0" r="0" b="15875"/>
            <wp:docPr id="2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3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8"/>
        <w:tblW w:w="102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64"/>
        <w:gridCol w:w="1276"/>
        <w:gridCol w:w="4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0206" w:type="dxa"/>
            <w:gridSpan w:val="4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折装与测量组合工具箱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384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外形尺寸</w:t>
            </w:r>
          </w:p>
        </w:tc>
        <w:tc>
          <w:tcPr>
            <w:tcW w:w="2864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40×30×7cm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重量</w:t>
            </w:r>
          </w:p>
        </w:tc>
        <w:tc>
          <w:tcPr>
            <w:tcW w:w="468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≥5(kg)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0" w:hRule="atLeast"/>
          <w:jc w:val="center"/>
        </w:trPr>
        <w:tc>
          <w:tcPr>
            <w:tcW w:w="1384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组装工具</w:t>
            </w:r>
          </w:p>
        </w:tc>
        <w:tc>
          <w:tcPr>
            <w:tcW w:w="2864" w:type="dxa"/>
            <w:noWrap w:val="0"/>
            <w:vAlign w:val="center"/>
          </w:tcPr>
          <w:p>
            <w:pPr>
              <w:pStyle w:val="10"/>
              <w:numPr>
                <w:ilvl w:val="0"/>
                <w:numId w:val="4"/>
              </w:numPr>
              <w:spacing w:line="240" w:lineRule="auto"/>
              <w:ind w:firstLineChars="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专用纤维炳铜锤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（一头铜一头橡胶）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2、内六角扳手（套装加长）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3、尖嘴钳（6寸）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4、卡环钳（外卡5寸）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测量工具</w:t>
            </w:r>
          </w:p>
        </w:tc>
        <w:tc>
          <w:tcPr>
            <w:tcW w:w="468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1、带表游标卡尺0-200mm（哈量）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2、普通偏置中心线卡尺0-200mm（德制）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3、普通外径千分尺0-25mm（哈量）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4、普通外径千分尺25-50mm（哈量）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5、普通内径千分尺5-30mm（哈量）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6、普通深度卡尺0-200mm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7、普通万能角度尺0-360°（上海恒量）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8、齿厚卡尺 M1-26（上海恒量）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9、半径规R1-R7（德制）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10、半径规R7.5-R15（德制）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11、公制塞尺0.02-1mm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12、公制螺纹样板M0.25-6mm（德制）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384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类型</w:t>
            </w:r>
          </w:p>
        </w:tc>
        <w:tc>
          <w:tcPr>
            <w:tcW w:w="2864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便携组合式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外观颜色</w:t>
            </w:r>
          </w:p>
        </w:tc>
        <w:tc>
          <w:tcPr>
            <w:tcW w:w="4682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标配黑色（其它颜色可选配）</w:t>
            </w:r>
          </w:p>
        </w:tc>
      </w:tr>
    </w:tbl>
    <w:p>
      <w:pPr>
        <w:widowControl/>
        <w:spacing w:line="240" w:lineRule="auto"/>
        <w:ind w:firstLine="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>
      <w:pPr>
        <w:spacing w:line="240" w:lineRule="auto"/>
        <w:ind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5.佳能TM-5300绘图仪</w:t>
      </w:r>
    </w:p>
    <w:p>
      <w:pPr>
        <w:spacing w:line="240" w:lineRule="auto"/>
        <w:ind w:firstLine="480" w:firstLineChars="200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3724275" cy="2647950"/>
            <wp:effectExtent l="0" t="0" r="9525" b="0"/>
            <wp:docPr id="2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一、基本参数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涵盖功能：打印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墨盒数量：5色墨盒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最大打印幅面：36英寸（A0+）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最大打印长度：18米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最大分辨率：2400x1200dpi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打印速度：CAD线条图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普通纸：21秒（A1幅面横向快速，自定义5），40秒（A0幅面快速，自定义5）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覆膜纸：47秒（A0幅面快速，自定义5），1.2分（A0幅面快速），2.3秒（A0幅面标准）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二、图像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普通纸：44秒（A0幅面快速，自定义5），1.3分（A0幅面标准）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覆膜纸：1.7分（A0幅面快速，自定义5），2.6分（A0幅面标准）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照片光面纸：6.3分（A0幅面标准），9.7分（A0幅面高精度）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内存：2GB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网络打印：支持有线/无线网络打印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接口类型：USB2.0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打印机语言：SGRaster（Swift Graphic Raster）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三、性能参数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喷头配置：5120喷嘴/色×3色，其他颜色每色2560个喷嘴，共计15360个喷嘴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墨盒容量：型号：PFI-8120/PFI-8320，MBK，BK，C，M，Y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容量：130ml/300ml（随机标配墨水容量为130ml/90ml）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最小墨滴：5pl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线条精确度：±0.1%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最小线条宽度：0.02mm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四、介质规格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供纸方式：前部送纸/回转出纸或后部直接出纸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介质尺寸：203.2-917mm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介质厚度：0.07-0.8mm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无边距介质宽度推荐规格：JIS B2，JIS B1，ISO A1，ISO A0，10″，14″，17″，24″，36″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可打印规格：JIS B4，ISO A3，ISO A3+，ISO A2，8″，12″，16″，20″，30″，300mm，500mm，600mm，800mm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五、其它参数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液晶显示屏：3英寸LCD触摸屏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产品尺寸：1289×887×1060mm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产品重量：60Kg（包含卷纸轴，墨盒，打印头）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操作系统：Windows 7/XP/Vista/Server 2003/2008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电源电压：AC 100-240V，50/60Hz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电源功率：待机：0.6W，就绪：11.7W，扫描：17.5W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噪音水平：工作：44dB（A），待机：35dB（A）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环境参数：工作温度：15-30℃，工作湿度：10-80%（无凝结）</w:t>
      </w:r>
    </w:p>
    <w:p>
      <w:pPr>
        <w:spacing w:line="240" w:lineRule="auto"/>
        <w:ind w:firstLine="0" w:firstLineChars="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6、综合布线</w:t>
      </w:r>
    </w:p>
    <w:p>
      <w:pPr>
        <w:spacing w:line="240" w:lineRule="auto"/>
        <w:ind w:firstLine="42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全钢抗静电地板：HDG600mm*600mm*35mm,防静电，阻燃，能使静电电荷通泄至地，并有一定电磁屏蔽作用，含支柱，钻孔等配件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2</w:t>
      </w:r>
      <w:r>
        <w:rPr>
          <w:rFonts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强弱电布线：满足实训室实训教学用电需求包含人工、辅材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需到现场察看场地</w:t>
      </w:r>
    </w:p>
    <w:p>
      <w:pPr>
        <w:spacing w:line="240" w:lineRule="auto"/>
        <w:ind w:firstLine="0" w:firstLineChars="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7、吊顶</w:t>
      </w:r>
    </w:p>
    <w:p>
      <w:pPr>
        <w:spacing w:line="24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采用方通规格：1</w:t>
      </w:r>
      <w:r>
        <w:rPr>
          <w:rFonts w:ascii="宋体" w:hAnsi="宋体" w:eastAsia="宋体" w:cs="宋体"/>
          <w:sz w:val="24"/>
          <w:szCs w:val="24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*</w:t>
      </w:r>
      <w:r>
        <w:rPr>
          <w:rFonts w:ascii="宋体" w:hAnsi="宋体" w:eastAsia="宋体" w:cs="宋体"/>
          <w:sz w:val="24"/>
          <w:szCs w:val="24"/>
        </w:rPr>
        <w:t>3.5</w:t>
      </w:r>
      <w:r>
        <w:rPr>
          <w:rFonts w:hint="eastAsia" w:ascii="宋体" w:hAnsi="宋体" w:eastAsia="宋体" w:cs="宋体"/>
          <w:sz w:val="24"/>
          <w:szCs w:val="24"/>
        </w:rPr>
        <w:t>*</w:t>
      </w:r>
      <w:r>
        <w:rPr>
          <w:rFonts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cm，需到现场察看场地</w:t>
      </w:r>
    </w:p>
    <w:p>
      <w:pPr>
        <w:spacing w:line="240" w:lineRule="auto"/>
        <w:ind w:firstLine="0" w:firstLineChars="0"/>
        <w:jc w:val="left"/>
        <w:rPr>
          <w:rFonts w:ascii="宋体" w:hAnsi="宋体" w:eastAsia="宋体" w:cs="宋体"/>
          <w:sz w:val="24"/>
          <w:szCs w:val="24"/>
        </w:rPr>
      </w:pPr>
    </w:p>
    <w:p>
      <w:pPr>
        <w:widowControl/>
        <w:spacing w:line="240" w:lineRule="auto"/>
        <w:ind w:firstLine="0" w:firstLineChars="0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</w:p>
    <w:p/>
    <w:sectPr>
      <w:pgSz w:w="11906" w:h="16838"/>
      <w:pgMar w:top="1247" w:right="1247" w:bottom="1247" w:left="124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240" w:lineRule="auto"/>
      <w:ind w:firstLine="0" w:firstLineChars="0"/>
      <w:rPr>
        <w:rFonts w:ascii="Times New Roman" w:hAnsi="Times New Roman" w:eastAsia="宋体" w:cs="Times New Roman"/>
      </w:rPr>
    </w:pPr>
    <w:r>
      <w:rPr>
        <w:rFonts w:ascii="Times New Roman" w:hAnsi="Times New Roman" w:eastAsia="宋体" w:cs="Times New Roman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矩形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spacing w:line="240" w:lineRule="auto"/>
                            <w:ind w:firstLine="0" w:firstLineChars="0"/>
                            <w:rPr>
                              <w:rFonts w:hint="eastAsia" w:ascii="Times New Roman" w:hAnsi="Times New Roman" w:eastAsia="宋体" w:cs="Times New Roman"/>
                              <w:sz w:val="18"/>
                              <w:szCs w:val="24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21"/>
                              <w:szCs w:val="24"/>
                            </w:rPr>
                            <w:t>6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sz w:val="18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A12xyg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spacing w:line="240" w:lineRule="auto"/>
                      <w:ind w:firstLine="0" w:firstLineChars="0"/>
                      <w:rPr>
                        <w:rFonts w:hint="eastAsia" w:ascii="Times New Roman" w:hAnsi="Times New Roman" w:eastAsia="宋体" w:cs="Times New Roman"/>
                        <w:sz w:val="18"/>
                        <w:szCs w:val="24"/>
                      </w:rPr>
                    </w:pPr>
                    <w:r>
                      <w:rPr>
                        <w:rFonts w:hint="eastAsia" w:ascii="Times New Roman" w:hAnsi="Times New Roman" w:eastAsia="宋体" w:cs="Times New Roman"/>
                        <w:sz w:val="18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Times New Roman"/>
                        <w:sz w:val="18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Times New Roman"/>
                        <w:sz w:val="18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sz w:val="21"/>
                        <w:szCs w:val="24"/>
                      </w:rPr>
                      <w:t>6</w:t>
                    </w:r>
                    <w:r>
                      <w:rPr>
                        <w:rFonts w:hint="eastAsia" w:ascii="Times New Roman" w:hAnsi="Times New Roman" w:eastAsia="宋体" w:cs="Times New Roman"/>
                        <w:sz w:val="18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CC8747"/>
    <w:multiLevelType w:val="singleLevel"/>
    <w:tmpl w:val="EACC8747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b/>
        <w:bCs/>
        <w:sz w:val="30"/>
        <w:szCs w:val="30"/>
      </w:rPr>
    </w:lvl>
  </w:abstractNum>
  <w:abstractNum w:abstractNumId="1">
    <w:nsid w:val="25E4497E"/>
    <w:multiLevelType w:val="singleLevel"/>
    <w:tmpl w:val="25E4497E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 w:ascii="黑体" w:hAnsi="黑体" w:eastAsia="黑体" w:cs="黑体"/>
        <w:b/>
        <w:bCs/>
        <w:sz w:val="32"/>
        <w:szCs w:val="32"/>
      </w:rPr>
    </w:lvl>
  </w:abstractNum>
  <w:abstractNum w:abstractNumId="2">
    <w:nsid w:val="28C07E07"/>
    <w:multiLevelType w:val="multilevel"/>
    <w:tmpl w:val="28C07E0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60006E8"/>
    <w:multiLevelType w:val="singleLevel"/>
    <w:tmpl w:val="660006E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2D09B5"/>
    <w:rsid w:val="0EA70944"/>
    <w:rsid w:val="192D09B5"/>
    <w:rsid w:val="19BE3EC3"/>
    <w:rsid w:val="22166B9E"/>
    <w:rsid w:val="32205D93"/>
    <w:rsid w:val="3CBF2473"/>
    <w:rsid w:val="600B673F"/>
    <w:rsid w:val="63D94E7C"/>
    <w:rsid w:val="788C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12" w:lineRule="auto"/>
      <w:ind w:firstLine="420" w:firstLineChars="200"/>
      <w:jc w:val="both"/>
    </w:pPr>
    <w:rPr>
      <w:rFonts w:eastAsia="仿宋" w:asciiTheme="minorAscii" w:hAnsiTheme="minorAscii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0"/>
      </w:tabs>
      <w:spacing w:before="50" w:beforeLines="50" w:after="50" w:afterLines="50" w:line="312" w:lineRule="auto"/>
      <w:ind w:firstLineChars="0"/>
      <w:outlineLvl w:val="0"/>
    </w:pPr>
    <w:rPr>
      <w:rFonts w:ascii="黑体" w:hAnsi="黑体" w:eastAsia="黑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tabs>
        <w:tab w:val="left" w:pos="0"/>
      </w:tabs>
      <w:spacing w:before="50" w:beforeLines="50" w:line="312" w:lineRule="auto"/>
      <w:outlineLvl w:val="1"/>
    </w:pPr>
    <w:rPr>
      <w:rFonts w:ascii="仿宋" w:hAnsi="仿宋" w:eastAsia="仿宋" w:cs="Times New Roman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12" w:lineRule="auto"/>
      <w:outlineLvl w:val="2"/>
    </w:pPr>
    <w:rPr>
      <w:rFonts w:ascii="仿宋" w:hAnsi="仿宋" w:eastAsia="仿宋" w:cs="Times New Roman"/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next w:val="1"/>
    <w:qFormat/>
    <w:uiPriority w:val="35"/>
    <w:pPr>
      <w:widowControl w:val="0"/>
      <w:spacing w:line="360" w:lineRule="auto"/>
      <w:ind w:firstLine="200" w:firstLineChars="200"/>
      <w:jc w:val="both"/>
    </w:pPr>
    <w:rPr>
      <w:rFonts w:ascii="等线 Light" w:hAnsi="等线 Light" w:eastAsia="黑体" w:cs="Times New Roman"/>
      <w:kern w:val="2"/>
      <w:sz w:val="20"/>
      <w:szCs w:val="20"/>
      <w:lang w:val="en-US" w:eastAsia="zh-CN" w:bidi="ar-SA"/>
    </w:rPr>
  </w:style>
  <w:style w:type="paragraph" w:styleId="6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7">
    <w:name w:val="Normal (Web)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paragraph" w:styleId="10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2020-11-13T08:07:00Z</dcterms:created>
  <dc:creator>linqq</dc:creator>
  <cp:lastModifiedBy>linqq</cp:lastModifiedBy>
  <dcterms:modified xsi:type="dcterms:W3CDTF">2020-11-13T08:30:44Z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